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A2073" w14:textId="6DD39E12" w:rsidR="00BA7E5A" w:rsidRPr="00906EDA" w:rsidRDefault="00040A83" w:rsidP="00A1376B">
      <w:pPr>
        <w:spacing w:line="320" w:lineRule="exact"/>
        <w:ind w:right="1700"/>
        <w:rPr>
          <w:b/>
          <w:sz w:val="32"/>
        </w:rPr>
      </w:pPr>
      <w:r w:rsidRPr="00906EDA">
        <w:rPr>
          <w:noProof/>
        </w:rPr>
        <w:drawing>
          <wp:anchor distT="0" distB="0" distL="114300" distR="114300" simplePos="0" relativeHeight="251658240" behindDoc="0" locked="0" layoutInCell="1" allowOverlap="1" wp14:anchorId="59E06D50" wp14:editId="11CE8A94">
            <wp:simplePos x="0" y="0"/>
            <wp:positionH relativeFrom="column">
              <wp:posOffset>4623435</wp:posOffset>
            </wp:positionH>
            <wp:positionV relativeFrom="paragraph">
              <wp:posOffset>-412750</wp:posOffset>
            </wp:positionV>
            <wp:extent cx="1495425" cy="790575"/>
            <wp:effectExtent l="0" t="0" r="9525" b="9525"/>
            <wp:wrapNone/>
            <wp:docPr id="2" name="Grafik 0" descr="DBAG_Logo_GS.jpg"/>
            <wp:cNvGraphicFramePr/>
            <a:graphic xmlns:a="http://schemas.openxmlformats.org/drawingml/2006/main">
              <a:graphicData uri="http://schemas.openxmlformats.org/drawingml/2006/picture">
                <pic:pic xmlns:pic="http://schemas.openxmlformats.org/drawingml/2006/picture">
                  <pic:nvPicPr>
                    <pic:cNvPr id="1965354578" name="Grafik 0" descr="DBAG_Logo_GS.jpg"/>
                    <pic:cNvPicPr/>
                  </pic:nvPicPr>
                  <pic:blipFill>
                    <a:blip r:embed="rId9">
                      <a:extLst>
                        <a:ext uri="{28A0092B-C50C-407E-A947-70E740481C1C}">
                          <a14:useLocalDpi xmlns:a14="http://schemas.microsoft.com/office/drawing/2010/main" val="0"/>
                        </a:ext>
                      </a:extLst>
                    </a:blip>
                    <a:stretch>
                      <a:fillRect/>
                    </a:stretch>
                  </pic:blipFill>
                  <pic:spPr>
                    <a:xfrm>
                      <a:off x="0" y="0"/>
                      <a:ext cx="1495425" cy="790575"/>
                    </a:xfrm>
                    <a:prstGeom prst="rect">
                      <a:avLst/>
                    </a:prstGeom>
                  </pic:spPr>
                </pic:pic>
              </a:graphicData>
            </a:graphic>
            <wp14:sizeRelH relativeFrom="page">
              <wp14:pctWidth>0</wp14:pctWidth>
            </wp14:sizeRelH>
            <wp14:sizeRelV relativeFrom="page">
              <wp14:pctHeight>0</wp14:pctHeight>
            </wp14:sizeRelV>
          </wp:anchor>
        </w:drawing>
      </w:r>
    </w:p>
    <w:p w14:paraId="32BE8FCB" w14:textId="77777777" w:rsidR="00BA7E5A" w:rsidRPr="00906EDA" w:rsidRDefault="00BA7E5A" w:rsidP="00A1376B">
      <w:pPr>
        <w:spacing w:line="320" w:lineRule="exact"/>
        <w:ind w:right="1700"/>
        <w:rPr>
          <w:b/>
          <w:sz w:val="32"/>
        </w:rPr>
      </w:pPr>
    </w:p>
    <w:p w14:paraId="1C259CDE" w14:textId="77777777" w:rsidR="00BA7E5A" w:rsidRPr="00906EDA" w:rsidRDefault="00BA7E5A" w:rsidP="00A1376B">
      <w:pPr>
        <w:spacing w:line="320" w:lineRule="exact"/>
        <w:ind w:right="1700"/>
        <w:rPr>
          <w:b/>
          <w:sz w:val="32"/>
        </w:rPr>
      </w:pPr>
    </w:p>
    <w:p w14:paraId="571EAE5B" w14:textId="77777777" w:rsidR="00893DFC" w:rsidRPr="00906EDA" w:rsidRDefault="00893DFC" w:rsidP="00A1376B">
      <w:pPr>
        <w:spacing w:line="320" w:lineRule="exact"/>
        <w:ind w:right="1700"/>
        <w:rPr>
          <w:b/>
          <w:sz w:val="32"/>
        </w:rPr>
      </w:pPr>
    </w:p>
    <w:p w14:paraId="45B11CF7" w14:textId="77777777" w:rsidR="00893DFC" w:rsidRPr="00906EDA" w:rsidRDefault="00893DFC" w:rsidP="00A1376B">
      <w:pPr>
        <w:spacing w:line="320" w:lineRule="exact"/>
        <w:ind w:right="1700"/>
        <w:rPr>
          <w:b/>
          <w:sz w:val="32"/>
        </w:rPr>
      </w:pPr>
    </w:p>
    <w:p w14:paraId="41AC0D7F" w14:textId="77777777" w:rsidR="00893DFC" w:rsidRPr="00906EDA" w:rsidRDefault="00893DFC" w:rsidP="00A1376B">
      <w:pPr>
        <w:spacing w:line="320" w:lineRule="exact"/>
        <w:ind w:right="1700"/>
        <w:rPr>
          <w:b/>
          <w:sz w:val="32"/>
        </w:rPr>
      </w:pPr>
    </w:p>
    <w:p w14:paraId="4E5E94FC" w14:textId="36B10F7D" w:rsidR="00B30032" w:rsidRPr="00906EDA" w:rsidRDefault="00040A83" w:rsidP="00A1376B">
      <w:pPr>
        <w:spacing w:line="320" w:lineRule="exact"/>
        <w:ind w:right="1700"/>
        <w:rPr>
          <w:b/>
          <w:sz w:val="32"/>
        </w:rPr>
      </w:pPr>
      <w:r w:rsidRPr="00906EDA">
        <w:rPr>
          <w:b/>
          <w:sz w:val="32"/>
        </w:rPr>
        <w:t xml:space="preserve">Erklärung zur Unternehmensführung nach </w:t>
      </w:r>
      <w:r w:rsidR="00A1376B" w:rsidRPr="00906EDA">
        <w:rPr>
          <w:b/>
          <w:sz w:val="32"/>
        </w:rPr>
        <w:br/>
      </w:r>
      <w:r w:rsidRPr="00906EDA">
        <w:rPr>
          <w:b/>
          <w:sz w:val="32"/>
        </w:rPr>
        <w:t>§§ 289f, 315d HGB</w:t>
      </w:r>
    </w:p>
    <w:p w14:paraId="1D865E3E" w14:textId="21D2D84A" w:rsidR="00B30032" w:rsidRPr="00906EDA" w:rsidRDefault="00B30032" w:rsidP="00B37DDF">
      <w:pPr>
        <w:spacing w:line="320" w:lineRule="exact"/>
        <w:ind w:right="1700"/>
        <w:jc w:val="both"/>
        <w:rPr>
          <w:b/>
          <w:sz w:val="28"/>
        </w:rPr>
      </w:pPr>
    </w:p>
    <w:p w14:paraId="00055CC0" w14:textId="1009FA50" w:rsidR="00D54DFE" w:rsidRPr="00906EDA" w:rsidRDefault="00040A83" w:rsidP="00E92E2F">
      <w:pPr>
        <w:spacing w:line="320" w:lineRule="exact"/>
        <w:ind w:right="1417"/>
        <w:jc w:val="both"/>
      </w:pPr>
      <w:r w:rsidRPr="00906EDA">
        <w:t>Die nach § 289f und § 315d HGB abzugebende Erklärung zur Unternehmensführung ist Bestandteil des zusammengefassten Lageberichts der Deutschen Beteiligungs AG</w:t>
      </w:r>
      <w:r w:rsidR="00EF4CBB">
        <w:t xml:space="preserve"> („DBAG“)</w:t>
      </w:r>
      <w:r w:rsidRPr="00906EDA">
        <w:t xml:space="preserve"> und des Konzerns</w:t>
      </w:r>
      <w:r w:rsidR="00AE6020" w:rsidRPr="00906EDA">
        <w:t xml:space="preserve">. </w:t>
      </w:r>
      <w:r w:rsidRPr="00906EDA">
        <w:t>Die nachfolgenden Ausführungen gelten für die Deutsche Beteiligungs AG und deren Konzernunternehmen</w:t>
      </w:r>
      <w:r w:rsidR="001075FC" w:rsidRPr="00906EDA">
        <w:t>, soweit nachfolgend nicht anders dargestellt</w:t>
      </w:r>
      <w:r w:rsidRPr="00906EDA">
        <w:t xml:space="preserve">. Aufsichtsrat und Vorstand berichten in dieser Erklärung auch über die Corporate Governance der Gesellschaft. </w:t>
      </w:r>
      <w:r w:rsidR="00823367" w:rsidRPr="00906EDA">
        <w:t xml:space="preserve">Eine nichtfinanzielle Erklärung nach </w:t>
      </w:r>
      <w:r w:rsidR="00985715" w:rsidRPr="00906EDA">
        <w:t>§</w:t>
      </w:r>
      <w:r w:rsidR="00823367" w:rsidRPr="00906EDA">
        <w:t>§ 289b</w:t>
      </w:r>
      <w:r w:rsidR="00985715" w:rsidRPr="00906EDA">
        <w:t>, 315b</w:t>
      </w:r>
      <w:r w:rsidR="00823367" w:rsidRPr="00906EDA">
        <w:t xml:space="preserve"> HGB muss die Gesellschaft nicht abgeben.</w:t>
      </w:r>
    </w:p>
    <w:p w14:paraId="30C884C0" w14:textId="77777777" w:rsidR="00AE6020" w:rsidRPr="00906EDA" w:rsidRDefault="00AE6020" w:rsidP="00B37DDF">
      <w:pPr>
        <w:spacing w:line="320" w:lineRule="exact"/>
        <w:ind w:right="1700"/>
        <w:jc w:val="both"/>
        <w:rPr>
          <w:b/>
          <w:sz w:val="28"/>
        </w:rPr>
      </w:pPr>
    </w:p>
    <w:p w14:paraId="46DA2A11" w14:textId="605E2DA8" w:rsidR="00B30032" w:rsidRPr="00906EDA" w:rsidRDefault="00040A83" w:rsidP="00B37DDF">
      <w:pPr>
        <w:pStyle w:val="berschrift1"/>
        <w:spacing w:line="320" w:lineRule="exact"/>
      </w:pPr>
      <w:r w:rsidRPr="00906EDA">
        <w:t xml:space="preserve">1. Erklärung gemäß § 161 </w:t>
      </w:r>
      <w:r w:rsidR="00A24899" w:rsidRPr="00906EDA">
        <w:t>AktG</w:t>
      </w:r>
      <w:r w:rsidRPr="00906EDA">
        <w:t xml:space="preserve"> zum Deutschen Corporate Governance Kodex („Entsprechenserklärung“)</w:t>
      </w:r>
    </w:p>
    <w:p w14:paraId="3A8CBB32" w14:textId="77777777" w:rsidR="00B30032" w:rsidRPr="00906EDA" w:rsidRDefault="00B30032" w:rsidP="00B37DDF">
      <w:pPr>
        <w:spacing w:line="320" w:lineRule="exact"/>
        <w:ind w:right="1700"/>
        <w:jc w:val="both"/>
      </w:pPr>
    </w:p>
    <w:p w14:paraId="42EA5E4C" w14:textId="4E105B3A" w:rsidR="00D30E0B" w:rsidRPr="00906EDA" w:rsidRDefault="00D30E0B" w:rsidP="0006055B">
      <w:pPr>
        <w:ind w:right="1417"/>
        <w:jc w:val="both"/>
        <w:rPr>
          <w:szCs w:val="24"/>
        </w:rPr>
      </w:pPr>
      <w:bookmarkStart w:id="0" w:name="_Hlk113458711"/>
      <w:r w:rsidRPr="00906EDA">
        <w:t>Vorstand</w:t>
      </w:r>
      <w:r w:rsidRPr="00906EDA">
        <w:rPr>
          <w:szCs w:val="24"/>
        </w:rPr>
        <w:t xml:space="preserve"> und Aufsichtsrat der Deutschen Beteiligungs AG haben im </w:t>
      </w:r>
      <w:r w:rsidR="001E29B1" w:rsidRPr="00906EDA">
        <w:rPr>
          <w:szCs w:val="24"/>
        </w:rPr>
        <w:t>November 2025</w:t>
      </w:r>
      <w:r w:rsidRPr="00906EDA">
        <w:rPr>
          <w:szCs w:val="24"/>
        </w:rPr>
        <w:t xml:space="preserve"> folgende Erklärung abgegeben:</w:t>
      </w:r>
    </w:p>
    <w:p w14:paraId="751F6FD4" w14:textId="77777777" w:rsidR="00D30E0B" w:rsidRPr="00906EDA" w:rsidRDefault="00D30E0B" w:rsidP="0006055B">
      <w:pPr>
        <w:ind w:right="1417"/>
        <w:jc w:val="both"/>
      </w:pPr>
    </w:p>
    <w:p w14:paraId="34ABE37A" w14:textId="1F6FF1F6" w:rsidR="0006055B" w:rsidRPr="00906EDA" w:rsidRDefault="0006055B" w:rsidP="0006055B">
      <w:pPr>
        <w:ind w:right="1417"/>
        <w:jc w:val="both"/>
      </w:pPr>
      <w:r w:rsidRPr="00906EDA">
        <w:t>Vorstand und Aufsichtsrat erklären nach § 161 AktG, dass die Deutsche Beteiligungs AG seit der jüngsten Entsprechenserklärung vom September 202</w:t>
      </w:r>
      <w:r w:rsidR="001E29B1" w:rsidRPr="00906EDA">
        <w:t>4</w:t>
      </w:r>
      <w:r w:rsidRPr="00906EDA">
        <w:t xml:space="preserve"> allen Empfehlungen des Deutschen Corporate Governance Kodex in der Fassung vom 28. April 2022 (im Folgenden: Deutscher Corporate Governance Kodex) mit der folgenden Ausnahme entsprochen hat:</w:t>
      </w:r>
    </w:p>
    <w:p w14:paraId="41427E1C" w14:textId="77777777" w:rsidR="0006055B" w:rsidRPr="00906EDA" w:rsidRDefault="0006055B" w:rsidP="0006055B">
      <w:pPr>
        <w:ind w:right="1417"/>
        <w:jc w:val="both"/>
      </w:pPr>
    </w:p>
    <w:p w14:paraId="2EECDA41" w14:textId="0BD5AD6D" w:rsidR="0006055B" w:rsidRPr="00906EDA" w:rsidRDefault="0006055B" w:rsidP="0006055B">
      <w:pPr>
        <w:pStyle w:val="Listenabsatz"/>
        <w:ind w:right="1417"/>
        <w:jc w:val="both"/>
      </w:pPr>
      <w:bookmarkStart w:id="1" w:name="_Hlk49780852"/>
      <w:r w:rsidRPr="00906EDA">
        <w:t xml:space="preserve">Entgegen der Empfehlung G.10 des Deutschen Corporate Governance Kodex werden die den Mitgliedern des Vorstands gewährten variablen Vergütungsbeträge von ihnen nicht überwiegend in Aktien angelegt oder aktienbasiert gewährt. Die Vorstandsmitglieder sind jedoch verpflichtet, 35 Prozent des Nettobetrags der jeweils gewährten langfristigen variablen Vergütung in Aktien der Gesellschaft zu investieren und die Aktien mindestens </w:t>
      </w:r>
      <w:r w:rsidR="008C3268">
        <w:t>4</w:t>
      </w:r>
      <w:r w:rsidR="008C3268" w:rsidRPr="00906EDA">
        <w:t xml:space="preserve"> </w:t>
      </w:r>
      <w:r w:rsidRPr="00906EDA">
        <w:t>Jahre von dem Erwerbszeitpunkt an, jedoch nicht über den Zeitpunkt der Beendigung der Mitgliedschaft im Vorstand hinaus, zu halten.</w:t>
      </w:r>
    </w:p>
    <w:p w14:paraId="4F7DC089" w14:textId="77777777" w:rsidR="0006055B" w:rsidRPr="00906EDA" w:rsidRDefault="0006055B" w:rsidP="0006055B">
      <w:pPr>
        <w:ind w:right="1417"/>
        <w:jc w:val="both"/>
      </w:pPr>
    </w:p>
    <w:p w14:paraId="26502834" w14:textId="62C02146" w:rsidR="0006055B" w:rsidRPr="00906EDA" w:rsidRDefault="0006055B" w:rsidP="0006055B">
      <w:pPr>
        <w:pStyle w:val="Listenabsatz"/>
        <w:ind w:right="1417"/>
        <w:jc w:val="both"/>
      </w:pPr>
      <w:r w:rsidRPr="00906EDA">
        <w:t xml:space="preserve">Der Aufsichtsrat ist der Ansicht, dass die Verpflichtung, die variable Vergütung überwiegend in Aktien oder entsprechend aktienbasiert zu gewähren (ohne Berücksichtigung bereits erworbener Aktien), weder angemessen noch erforderlich ist. Die Interessen aller Vorstandsmitglieder sind durch ihren bestehenden und im laufenden Geschäftsjahr noch ausgebauten Aktienbesitz auch ohne eine so weitgehende Verpflichtung hinreichend mit den </w:t>
      </w:r>
      <w:r w:rsidRPr="00906EDA">
        <w:lastRenderedPageBreak/>
        <w:t xml:space="preserve">Interessen der Gesellschaft verknüpft. Außerdem beteiligen sich die Vorstandsmitglieder, die Mitglieder des </w:t>
      </w:r>
      <w:r w:rsidR="00E40D2E" w:rsidRPr="00906EDA">
        <w:t>Investment Advisory Teams</w:t>
      </w:r>
      <w:r w:rsidRPr="00906EDA">
        <w:t xml:space="preserve"> sind, in einer festgelegten Quote an sämtlichen Beteiligungen der Gesellschaft in Fonds.</w:t>
      </w:r>
    </w:p>
    <w:p w14:paraId="6C2323F6" w14:textId="77777777" w:rsidR="0006055B" w:rsidRPr="00906EDA" w:rsidRDefault="0006055B" w:rsidP="0006055B">
      <w:pPr>
        <w:pStyle w:val="Listenabsatz"/>
        <w:ind w:right="1417"/>
        <w:jc w:val="both"/>
      </w:pPr>
    </w:p>
    <w:bookmarkEnd w:id="1"/>
    <w:p w14:paraId="1B2782BD" w14:textId="57C841AF" w:rsidR="0006055B" w:rsidRPr="00906EDA" w:rsidRDefault="0006055B" w:rsidP="0006055B">
      <w:pPr>
        <w:ind w:right="1417"/>
        <w:jc w:val="both"/>
      </w:pPr>
      <w:r w:rsidRPr="00906EDA">
        <w:t>Bis auf die vorgenannte Ausnahme werden wir auch weiterhin allen Empfehlungen des Deutschen Corporate Governance Kodex</w:t>
      </w:r>
      <w:r w:rsidR="00073F1D">
        <w:t xml:space="preserve"> </w:t>
      </w:r>
      <w:r w:rsidRPr="00906EDA">
        <w:t>folgen.</w:t>
      </w:r>
    </w:p>
    <w:p w14:paraId="55CF5590" w14:textId="77777777" w:rsidR="0006055B" w:rsidRPr="00906EDA" w:rsidRDefault="0006055B" w:rsidP="0006055B">
      <w:pPr>
        <w:ind w:right="1417"/>
        <w:jc w:val="both"/>
      </w:pPr>
    </w:p>
    <w:p w14:paraId="0E126B67" w14:textId="2D449FA2" w:rsidR="0006055B" w:rsidRPr="00906EDA" w:rsidRDefault="0006055B" w:rsidP="0006055B">
      <w:pPr>
        <w:ind w:right="1417"/>
        <w:jc w:val="both"/>
      </w:pPr>
      <w:r w:rsidRPr="00906EDA">
        <w:t xml:space="preserve">Wir sind seit der letzten Entsprechenserklärung zudem allen Anregungen des Deutschen Corporate Governance Kodex gefolgt und beabsichtigen dies auch weiterhin zu tun. </w:t>
      </w:r>
    </w:p>
    <w:p w14:paraId="73AF0C15" w14:textId="77777777" w:rsidR="0006055B" w:rsidRPr="00906EDA" w:rsidRDefault="0006055B" w:rsidP="0006055B">
      <w:pPr>
        <w:jc w:val="both"/>
      </w:pPr>
    </w:p>
    <w:p w14:paraId="1D6F6E47" w14:textId="77777777" w:rsidR="0006055B" w:rsidRPr="00906EDA" w:rsidRDefault="0006055B" w:rsidP="0006055B">
      <w:pPr>
        <w:jc w:val="both"/>
      </w:pPr>
    </w:p>
    <w:p w14:paraId="56E65BF4" w14:textId="1427E0B7" w:rsidR="0006055B" w:rsidRPr="00906EDA" w:rsidRDefault="0006055B" w:rsidP="0006055B">
      <w:pPr>
        <w:jc w:val="both"/>
      </w:pPr>
      <w:r w:rsidRPr="00906EDA">
        <w:t xml:space="preserve">Frankfurt am Main, im </w:t>
      </w:r>
      <w:r w:rsidR="001E29B1" w:rsidRPr="00906EDA">
        <w:t>November 2025</w:t>
      </w:r>
    </w:p>
    <w:p w14:paraId="5E628864" w14:textId="77777777" w:rsidR="0006055B" w:rsidRPr="00906EDA" w:rsidRDefault="0006055B" w:rsidP="0006055B"/>
    <w:p w14:paraId="05173BA0" w14:textId="77777777" w:rsidR="0006055B" w:rsidRPr="00906EDA" w:rsidRDefault="0006055B" w:rsidP="0006055B">
      <w:r w:rsidRPr="00906EDA">
        <w:t>Deutsche Beteiligungs AG</w:t>
      </w:r>
    </w:p>
    <w:p w14:paraId="35D3EB59" w14:textId="67570DB0" w:rsidR="00FA159F" w:rsidRPr="00906EDA" w:rsidRDefault="0006055B" w:rsidP="0006055B">
      <w:pPr>
        <w:spacing w:line="320" w:lineRule="exact"/>
      </w:pPr>
      <w:r w:rsidRPr="00906EDA">
        <w:t>Der Vorstand</w:t>
      </w:r>
      <w:r w:rsidRPr="00906EDA">
        <w:tab/>
      </w:r>
      <w:r w:rsidRPr="00906EDA">
        <w:tab/>
      </w:r>
      <w:r w:rsidRPr="00906EDA">
        <w:tab/>
        <w:t>Der Aufsichtsrat</w:t>
      </w:r>
      <w:bookmarkEnd w:id="0"/>
    </w:p>
    <w:p w14:paraId="3E183DFD" w14:textId="77777777" w:rsidR="000545A7" w:rsidRPr="00906EDA" w:rsidRDefault="000545A7" w:rsidP="00B37DDF">
      <w:pPr>
        <w:spacing w:line="320" w:lineRule="exact"/>
        <w:ind w:right="1700"/>
        <w:jc w:val="both"/>
        <w:rPr>
          <w:b/>
          <w:sz w:val="28"/>
        </w:rPr>
      </w:pPr>
    </w:p>
    <w:p w14:paraId="79A6F0DF" w14:textId="77777777" w:rsidR="00434320" w:rsidRPr="00906EDA" w:rsidRDefault="00434320" w:rsidP="00B37DDF">
      <w:pPr>
        <w:pStyle w:val="berschrift1"/>
        <w:spacing w:line="320" w:lineRule="exact"/>
      </w:pPr>
    </w:p>
    <w:p w14:paraId="7C854C89" w14:textId="56A456E8" w:rsidR="00B30032" w:rsidRPr="00906EDA" w:rsidRDefault="00040A83" w:rsidP="00B37DDF">
      <w:pPr>
        <w:pStyle w:val="berschrift1"/>
        <w:spacing w:line="320" w:lineRule="exact"/>
      </w:pPr>
      <w:r w:rsidRPr="00906EDA">
        <w:t>2. Angaben zu Unternehmensführungspraktiken</w:t>
      </w:r>
    </w:p>
    <w:p w14:paraId="20D629AB" w14:textId="77777777" w:rsidR="00B30032" w:rsidRPr="00906EDA" w:rsidRDefault="00B30032" w:rsidP="00B37DDF">
      <w:pPr>
        <w:spacing w:line="320" w:lineRule="exact"/>
        <w:ind w:right="1700"/>
        <w:jc w:val="both"/>
      </w:pPr>
    </w:p>
    <w:p w14:paraId="77572D74" w14:textId="444C27CF" w:rsidR="00234E05" w:rsidRPr="00906EDA" w:rsidRDefault="00234E05" w:rsidP="00234E05">
      <w:pPr>
        <w:spacing w:line="320" w:lineRule="exact"/>
        <w:ind w:right="1700"/>
        <w:jc w:val="both"/>
        <w:rPr>
          <w:szCs w:val="24"/>
        </w:rPr>
      </w:pPr>
      <w:r w:rsidRPr="00906EDA">
        <w:rPr>
          <w:szCs w:val="24"/>
        </w:rPr>
        <w:t>Unsere Unternehmensführung orientiert sich an unseren Werten, also an Exzellenz, Integrität, Respekt, Transparenz und Offenheit. Sie bestimmen unser Tun auf vielfältige Weise. Wir verstehen darunter das Folgende:</w:t>
      </w:r>
    </w:p>
    <w:p w14:paraId="6677B0C7" w14:textId="77777777" w:rsidR="00234E05" w:rsidRPr="00906EDA" w:rsidRDefault="00234E05" w:rsidP="00234E05">
      <w:pPr>
        <w:ind w:right="1700"/>
        <w:rPr>
          <w:u w:val="single"/>
        </w:rPr>
      </w:pPr>
    </w:p>
    <w:p w14:paraId="18C5A307" w14:textId="77777777" w:rsidR="00234E05" w:rsidRPr="00906EDA" w:rsidRDefault="00234E05" w:rsidP="005C21CB">
      <w:pPr>
        <w:ind w:right="1700"/>
        <w:rPr>
          <w:u w:val="single"/>
        </w:rPr>
      </w:pPr>
      <w:r w:rsidRPr="00906EDA">
        <w:rPr>
          <w:u w:val="single"/>
        </w:rPr>
        <w:t>Exzellenz</w:t>
      </w:r>
      <w:r w:rsidRPr="00906EDA">
        <w:t xml:space="preserve"> – </w:t>
      </w:r>
      <w:r w:rsidRPr="00906EDA">
        <w:rPr>
          <w:i/>
          <w:iCs/>
        </w:rPr>
        <w:t>Wir handeln unternehmerisch, überwinden Schwierigkeiten und streben nach den besten Ergebnissen.</w:t>
      </w:r>
      <w:r w:rsidRPr="00906EDA">
        <w:rPr>
          <w:i/>
          <w:iCs/>
        </w:rPr>
        <w:br/>
      </w:r>
    </w:p>
    <w:p w14:paraId="710C0A1F" w14:textId="77777777" w:rsidR="00234E05" w:rsidRPr="00906EDA" w:rsidRDefault="00234E05" w:rsidP="005C21CB">
      <w:pPr>
        <w:ind w:right="1700"/>
        <w:rPr>
          <w:i/>
          <w:iCs/>
        </w:rPr>
      </w:pPr>
      <w:r w:rsidRPr="00906EDA">
        <w:rPr>
          <w:u w:val="single"/>
        </w:rPr>
        <w:t>Integrität</w:t>
      </w:r>
      <w:r w:rsidRPr="00906EDA">
        <w:t xml:space="preserve"> – </w:t>
      </w:r>
      <w:r w:rsidRPr="00906EDA">
        <w:rPr>
          <w:i/>
          <w:iCs/>
        </w:rPr>
        <w:t>Wir handeln stets ehrlich, stehen zu unserem Wort und stärken unsere ausgezeichnete Reputation.</w:t>
      </w:r>
      <w:r w:rsidRPr="00906EDA">
        <w:rPr>
          <w:i/>
          <w:iCs/>
        </w:rPr>
        <w:br/>
      </w:r>
    </w:p>
    <w:p w14:paraId="75ED4B82" w14:textId="77777777" w:rsidR="00234E05" w:rsidRPr="00906EDA" w:rsidRDefault="00234E05" w:rsidP="005C21CB">
      <w:pPr>
        <w:ind w:right="1700"/>
        <w:rPr>
          <w:i/>
        </w:rPr>
      </w:pPr>
      <w:r w:rsidRPr="00906EDA">
        <w:rPr>
          <w:u w:val="single"/>
        </w:rPr>
        <w:t>Respekt</w:t>
      </w:r>
      <w:r w:rsidRPr="00906EDA">
        <w:t xml:space="preserve"> – </w:t>
      </w:r>
      <w:r w:rsidRPr="00906EDA">
        <w:rPr>
          <w:i/>
          <w:iCs/>
        </w:rPr>
        <w:t>Wir fördern Vielfalt und achten die berechtigten Erwartungen und Bedürfnisse aller Anspruchsgruppen.</w:t>
      </w:r>
      <w:r w:rsidRPr="00906EDA">
        <w:rPr>
          <w:i/>
          <w:iCs/>
        </w:rPr>
        <w:br/>
      </w:r>
    </w:p>
    <w:p w14:paraId="2B76AAFF" w14:textId="77777777" w:rsidR="00234E05" w:rsidRPr="00906EDA" w:rsidRDefault="00234E05" w:rsidP="005C21CB">
      <w:pPr>
        <w:ind w:right="1700"/>
        <w:rPr>
          <w:i/>
          <w:iCs/>
        </w:rPr>
      </w:pPr>
      <w:r w:rsidRPr="00906EDA">
        <w:rPr>
          <w:u w:val="single"/>
        </w:rPr>
        <w:t>Transparenz</w:t>
      </w:r>
      <w:r w:rsidRPr="00906EDA">
        <w:t xml:space="preserve"> – </w:t>
      </w:r>
      <w:r w:rsidRPr="00906EDA">
        <w:rPr>
          <w:i/>
          <w:iCs/>
        </w:rPr>
        <w:t>Wir informieren alle Anspruchsgruppen offen über unsere Ziele und übernehmen Verantwortung für unser Tun.</w:t>
      </w:r>
      <w:r w:rsidRPr="00906EDA">
        <w:rPr>
          <w:i/>
          <w:iCs/>
        </w:rPr>
        <w:br/>
      </w:r>
    </w:p>
    <w:p w14:paraId="4FF14E57" w14:textId="29CC5225" w:rsidR="00234E05" w:rsidRPr="00906EDA" w:rsidRDefault="00234E05" w:rsidP="005C21CB">
      <w:pPr>
        <w:spacing w:line="320" w:lineRule="exact"/>
        <w:ind w:right="1700"/>
        <w:rPr>
          <w:i/>
          <w:iCs/>
        </w:rPr>
      </w:pPr>
      <w:r w:rsidRPr="00906EDA">
        <w:rPr>
          <w:u w:val="single"/>
        </w:rPr>
        <w:t>Offenheit</w:t>
      </w:r>
      <w:r w:rsidRPr="00906EDA">
        <w:t xml:space="preserve"> – </w:t>
      </w:r>
      <w:r w:rsidRPr="00906EDA">
        <w:rPr>
          <w:i/>
          <w:iCs/>
        </w:rPr>
        <w:t>Wir fördern Innovationen und treiben Veränderungen dynamisch voran.</w:t>
      </w:r>
    </w:p>
    <w:p w14:paraId="1E781954" w14:textId="77777777" w:rsidR="00234E05" w:rsidRPr="00906EDA" w:rsidRDefault="00234E05" w:rsidP="00234E05">
      <w:pPr>
        <w:spacing w:line="320" w:lineRule="exact"/>
        <w:ind w:right="1700"/>
        <w:jc w:val="both"/>
        <w:rPr>
          <w:szCs w:val="24"/>
        </w:rPr>
      </w:pPr>
    </w:p>
    <w:p w14:paraId="53094F60" w14:textId="2E263327" w:rsidR="00B30032" w:rsidRPr="00906EDA" w:rsidRDefault="00040A83" w:rsidP="008E0CC7">
      <w:pPr>
        <w:spacing w:line="320" w:lineRule="exact"/>
        <w:ind w:right="1700"/>
        <w:jc w:val="both"/>
      </w:pPr>
      <w:r w:rsidRPr="00906EDA">
        <w:rPr>
          <w:szCs w:val="24"/>
        </w:rPr>
        <w:t xml:space="preserve">Das Handeln der Deutschen Beteiligungs AG und ihrer Konzernunternehmen </w:t>
      </w:r>
      <w:r w:rsidRPr="00906EDA">
        <w:t xml:space="preserve">ist auf langfristigen Erfolg ausgerichtet. </w:t>
      </w:r>
      <w:r w:rsidR="00234E05" w:rsidRPr="00906EDA">
        <w:t xml:space="preserve">Deshalb </w:t>
      </w:r>
      <w:r w:rsidR="008C3268">
        <w:t>ist</w:t>
      </w:r>
      <w:r w:rsidR="008C3268" w:rsidRPr="00906EDA">
        <w:t xml:space="preserve"> </w:t>
      </w:r>
      <w:r w:rsidR="00234E05" w:rsidRPr="00906EDA">
        <w:t>d</w:t>
      </w:r>
      <w:r w:rsidRPr="00906EDA">
        <w:t>ie Orientierung an Beständigkeit und Transparenz wesentliche</w:t>
      </w:r>
      <w:r w:rsidR="008C3268">
        <w:t>r</w:t>
      </w:r>
      <w:r w:rsidRPr="00906EDA">
        <w:t xml:space="preserve"> Teil unserer Unternehmenskultur. Wir wollen das Vertrauen von Investoren, Geschäftspartnern, der Mitarbeiterinnen und </w:t>
      </w:r>
      <w:r w:rsidRPr="00906EDA">
        <w:lastRenderedPageBreak/>
        <w:t xml:space="preserve">Mitarbeiter unserer Portfoliounternehmen, der Kreditgeber </w:t>
      </w:r>
      <w:r w:rsidR="001075FC" w:rsidRPr="00906EDA">
        <w:t>unserer</w:t>
      </w:r>
      <w:r w:rsidRPr="00906EDA">
        <w:t xml:space="preserve"> Portfoliounternehmen sowie der Öffentlichkeit in die Leitung und Überwachung unserer Gesellschaft fördern. Dabei berücksichtigen wir sowohl die rechtlichen und unternehmensspezifischen Rahmenbedingungen für die Führung eines börsennotierten Unternehmens als auch die besonderen Erfordernisse einer Beteiligungsgesellschaft.</w:t>
      </w:r>
    </w:p>
    <w:p w14:paraId="2736EFF1" w14:textId="77777777" w:rsidR="00B30032" w:rsidRPr="00906EDA" w:rsidRDefault="00B30032" w:rsidP="00B37DDF">
      <w:pPr>
        <w:spacing w:line="320" w:lineRule="exact"/>
        <w:ind w:right="1700"/>
        <w:jc w:val="both"/>
      </w:pPr>
    </w:p>
    <w:p w14:paraId="664D1C3A" w14:textId="0C1EDB45" w:rsidR="00B30032" w:rsidRPr="00906EDA" w:rsidRDefault="00040A83" w:rsidP="00B37DDF">
      <w:pPr>
        <w:spacing w:line="320" w:lineRule="exact"/>
        <w:ind w:right="1700"/>
        <w:jc w:val="both"/>
        <w:rPr>
          <w:szCs w:val="24"/>
        </w:rPr>
      </w:pPr>
      <w:r w:rsidRPr="00906EDA">
        <w:t xml:space="preserve">Die Deutsche Beteiligungs AG und ihre Konzernunternehmen </w:t>
      </w:r>
      <w:r w:rsidRPr="00906EDA">
        <w:rPr>
          <w:szCs w:val="24"/>
        </w:rPr>
        <w:t>beachten die gesetzlichen Anforderungen sowie die Bestimmungen ihrer jeweiligen Satzungen</w:t>
      </w:r>
      <w:r w:rsidR="00C23375" w:rsidRPr="00906EDA">
        <w:rPr>
          <w:szCs w:val="24"/>
        </w:rPr>
        <w:t xml:space="preserve"> und Geschäftsordnungen</w:t>
      </w:r>
      <w:r w:rsidRPr="00906EDA">
        <w:rPr>
          <w:szCs w:val="24"/>
        </w:rPr>
        <w:t xml:space="preserve">. </w:t>
      </w:r>
      <w:r w:rsidR="00C23375" w:rsidRPr="00906EDA">
        <w:rPr>
          <w:szCs w:val="24"/>
        </w:rPr>
        <w:t>Die Satzung der Deutschen Beteiligungs AG und die Geschäftsordnung für den Aufsichtsrat</w:t>
      </w:r>
      <w:r w:rsidR="0005636B" w:rsidRPr="00906EDA">
        <w:rPr>
          <w:szCs w:val="24"/>
        </w:rPr>
        <w:t xml:space="preserve"> </w:t>
      </w:r>
      <w:r w:rsidR="00C23375" w:rsidRPr="00906EDA">
        <w:rPr>
          <w:szCs w:val="24"/>
        </w:rPr>
        <w:t xml:space="preserve">stehen auf unserer Internetseite unter </w:t>
      </w:r>
      <w:r w:rsidR="00893DFC" w:rsidRPr="00906EDA">
        <w:t>https://www.dbag.de/shareholder-relations/</w:t>
      </w:r>
      <w:r w:rsidR="00BD475F" w:rsidRPr="00906EDA">
        <w:t xml:space="preserve">corporate-governance </w:t>
      </w:r>
      <w:r w:rsidR="00C23375" w:rsidRPr="00906EDA">
        <w:rPr>
          <w:szCs w:val="24"/>
        </w:rPr>
        <w:t xml:space="preserve">zur Verfügung. </w:t>
      </w:r>
      <w:r w:rsidRPr="00906EDA">
        <w:rPr>
          <w:szCs w:val="24"/>
        </w:rPr>
        <w:t xml:space="preserve">Als börsennotiertes Unternehmen </w:t>
      </w:r>
      <w:r w:rsidR="00985715" w:rsidRPr="00906EDA">
        <w:rPr>
          <w:szCs w:val="24"/>
        </w:rPr>
        <w:t>unterliegt</w:t>
      </w:r>
      <w:r w:rsidRPr="00906EDA">
        <w:rPr>
          <w:szCs w:val="24"/>
        </w:rPr>
        <w:t xml:space="preserve"> die Deutsche Beteiligungs AG dem Deutschen Corporate Governance Kodex in der Fassung vom </w:t>
      </w:r>
      <w:r w:rsidR="00257980" w:rsidRPr="00906EDA">
        <w:t>28</w:t>
      </w:r>
      <w:r w:rsidR="00600DA3" w:rsidRPr="00906EDA">
        <w:t xml:space="preserve">. </w:t>
      </w:r>
      <w:r w:rsidR="00257980" w:rsidRPr="00906EDA">
        <w:t xml:space="preserve">April 2022 </w:t>
      </w:r>
      <w:r w:rsidR="00985715" w:rsidRPr="00906EDA">
        <w:t>und entspricht seinen Empfehlungen</w:t>
      </w:r>
      <w:r w:rsidR="00600DA3" w:rsidRPr="00906EDA">
        <w:t xml:space="preserve"> gegenwärtig </w:t>
      </w:r>
      <w:r w:rsidR="00985715" w:rsidRPr="00906EDA">
        <w:t xml:space="preserve">mit </w:t>
      </w:r>
      <w:r w:rsidR="00470961" w:rsidRPr="00906EDA">
        <w:t>einer</w:t>
      </w:r>
      <w:r w:rsidR="00600DA3" w:rsidRPr="00906EDA">
        <w:t xml:space="preserve"> Ausnahme</w:t>
      </w:r>
      <w:r w:rsidRPr="00906EDA">
        <w:rPr>
          <w:szCs w:val="24"/>
        </w:rPr>
        <w:t xml:space="preserve"> (siehe „Entsprechenserklärung“, S</w:t>
      </w:r>
      <w:r w:rsidR="00A24899" w:rsidRPr="00906EDA">
        <w:rPr>
          <w:szCs w:val="24"/>
        </w:rPr>
        <w:t>eite</w:t>
      </w:r>
      <w:r w:rsidR="00985715" w:rsidRPr="00906EDA">
        <w:rPr>
          <w:szCs w:val="24"/>
        </w:rPr>
        <w:t> </w:t>
      </w:r>
      <w:r w:rsidRPr="00906EDA">
        <w:rPr>
          <w:szCs w:val="24"/>
        </w:rPr>
        <w:t>1).</w:t>
      </w:r>
    </w:p>
    <w:p w14:paraId="3A78EC81" w14:textId="77777777" w:rsidR="00D741BD" w:rsidRPr="00906EDA" w:rsidRDefault="00D741BD" w:rsidP="008E0CC7">
      <w:pPr>
        <w:spacing w:line="320" w:lineRule="exact"/>
      </w:pPr>
    </w:p>
    <w:p w14:paraId="41149A42" w14:textId="35DD9F72" w:rsidR="00D741BD" w:rsidRPr="00906EDA" w:rsidRDefault="00040A83" w:rsidP="008E0CC7">
      <w:pPr>
        <w:spacing w:line="320" w:lineRule="exact"/>
        <w:ind w:right="1700"/>
        <w:jc w:val="both"/>
        <w:rPr>
          <w:szCs w:val="24"/>
        </w:rPr>
      </w:pPr>
      <w:r w:rsidRPr="00906EDA">
        <w:rPr>
          <w:szCs w:val="24"/>
        </w:rPr>
        <w:t>Corporate Governance bezeichnet die verantwortungsbewusste Leitung und Überwachung eines Unternehmens. Vorstand und Aufsichtsrat der Deutschen Beteiligungs AG bekennen sich zu diesen Prinzipien. In einem Verhaltenskodex haben wir deshalb die zentralen Werte und Handlungsmaximen unseres Unternehmens formuliert.</w:t>
      </w:r>
      <w:bookmarkStart w:id="2" w:name="_Hlk144720000"/>
      <w:r w:rsidRPr="00906EDA">
        <w:rPr>
          <w:szCs w:val="24"/>
        </w:rPr>
        <w:t xml:space="preserve"> </w:t>
      </w:r>
      <w:bookmarkEnd w:id="2"/>
      <w:r w:rsidRPr="00906EDA">
        <w:rPr>
          <w:szCs w:val="24"/>
        </w:rPr>
        <w:t>Wir wollen unseren Mitarbeiterinnen und Mitarbeitern damit Leitlinien an die Hand geben und unseren Geschäftspartnern und Investoren vermitteln, dass unser Handeln stets an festen ethischen Grundsätzen ausgerichtet ist und wir stets in fairer Partnerschaft handeln. Zu unseren Handlungsmaximen gehört darüber hinaus, dass wir Interessenkonflikte vermeiden und zu unserer gesellschaftlichen Verantwortung stehen. Wir verhalten uns politisch neutral, unterstützen aber soziale Vorhaben und bekennen uns zu einem fairen Wettbewerb. Wir verpflichten uns zu einer nachhaltigen Unternehmensführung und erfüllen hohe ESG-Standards.</w:t>
      </w:r>
      <w:r w:rsidR="00541CD7" w:rsidRPr="00906EDA">
        <w:rPr>
          <w:szCs w:val="24"/>
        </w:rPr>
        <w:t xml:space="preserve"> </w:t>
      </w:r>
    </w:p>
    <w:p w14:paraId="568BB43D" w14:textId="77777777" w:rsidR="00D741BD" w:rsidRPr="00906EDA" w:rsidRDefault="00D741BD" w:rsidP="008E0CC7">
      <w:pPr>
        <w:spacing w:line="320" w:lineRule="exact"/>
        <w:ind w:right="1700"/>
        <w:jc w:val="both"/>
        <w:rPr>
          <w:szCs w:val="24"/>
        </w:rPr>
      </w:pPr>
    </w:p>
    <w:p w14:paraId="3740D2C9" w14:textId="77777777" w:rsidR="00B30032" w:rsidRPr="00906EDA" w:rsidRDefault="00040A83" w:rsidP="00B37DDF">
      <w:pPr>
        <w:pStyle w:val="berschrift2"/>
      </w:pPr>
      <w:r w:rsidRPr="00906EDA">
        <w:t>Verantwortung übernehmen</w:t>
      </w:r>
    </w:p>
    <w:p w14:paraId="4CE335AC" w14:textId="0A852E5F" w:rsidR="00B30032" w:rsidRPr="00906EDA" w:rsidRDefault="00040A83" w:rsidP="00B37DDF">
      <w:pPr>
        <w:spacing w:line="320" w:lineRule="exact"/>
        <w:ind w:right="1700"/>
        <w:jc w:val="both"/>
        <w:rPr>
          <w:szCs w:val="24"/>
        </w:rPr>
      </w:pPr>
      <w:r w:rsidRPr="00906EDA">
        <w:rPr>
          <w:szCs w:val="24"/>
        </w:rPr>
        <w:t xml:space="preserve">Die Deutsche Beteiligungs AG geht auf Vorläufergesellschaften zurück, die 1965 gegründet wurden. Diese Gesellschaften haben das Beteiligungsgeschäft in Deutschland maßgeblich gestaltet und geprägt. </w:t>
      </w:r>
      <w:r w:rsidR="007025DE" w:rsidRPr="00906EDA">
        <w:rPr>
          <w:szCs w:val="24"/>
        </w:rPr>
        <w:t xml:space="preserve">Seit </w:t>
      </w:r>
      <w:r w:rsidR="00651309" w:rsidRPr="00906EDA">
        <w:rPr>
          <w:szCs w:val="24"/>
        </w:rPr>
        <w:t xml:space="preserve">über </w:t>
      </w:r>
      <w:r w:rsidR="00AA3AF0">
        <w:rPr>
          <w:szCs w:val="24"/>
        </w:rPr>
        <w:t>2</w:t>
      </w:r>
      <w:r w:rsidR="00AA3AF0" w:rsidRPr="00906EDA">
        <w:rPr>
          <w:szCs w:val="24"/>
        </w:rPr>
        <w:t xml:space="preserve"> </w:t>
      </w:r>
      <w:r w:rsidR="007025DE" w:rsidRPr="00906EDA">
        <w:rPr>
          <w:szCs w:val="24"/>
        </w:rPr>
        <w:t xml:space="preserve">Jahrzehnten </w:t>
      </w:r>
      <w:r w:rsidRPr="00906EDA">
        <w:rPr>
          <w:szCs w:val="24"/>
        </w:rPr>
        <w:t>sind wir auch als erfolgreicher Berater von Private-Equity-Fonds etabliert. Wir können für uns in Anspruch nehmen, eine der führenden deutschen Private-Equity-Gesellschaften zu sein. Als eines der wenigen börsennotierten deutschen Private-Equity-Unternehmen kommt uns in der öffentlichen Wahrnehmung unserer Branche eine besondere Bedeutung zu.</w:t>
      </w:r>
    </w:p>
    <w:p w14:paraId="438EDA5B" w14:textId="77777777" w:rsidR="00B30032" w:rsidRPr="00906EDA" w:rsidRDefault="00B30032" w:rsidP="00B37DDF">
      <w:pPr>
        <w:spacing w:line="320" w:lineRule="exact"/>
        <w:ind w:right="1700"/>
        <w:jc w:val="both"/>
        <w:rPr>
          <w:szCs w:val="24"/>
        </w:rPr>
      </w:pPr>
    </w:p>
    <w:p w14:paraId="5A5BAADA" w14:textId="3885635F" w:rsidR="00B30032" w:rsidRPr="00906EDA" w:rsidRDefault="00040A83" w:rsidP="00B37DDF">
      <w:pPr>
        <w:spacing w:line="320" w:lineRule="exact"/>
        <w:ind w:right="1700"/>
        <w:jc w:val="both"/>
        <w:rPr>
          <w:szCs w:val="24"/>
        </w:rPr>
      </w:pPr>
      <w:r w:rsidRPr="00906EDA">
        <w:rPr>
          <w:szCs w:val="24"/>
        </w:rPr>
        <w:t xml:space="preserve">Wir sind uns der Verantwortung bewusst, die aus dieser Position erwächst. </w:t>
      </w:r>
      <w:r w:rsidR="00234E05" w:rsidRPr="00906EDA">
        <w:rPr>
          <w:szCs w:val="24"/>
        </w:rPr>
        <w:t xml:space="preserve">Auch deshalb fühlen wir uns dem Gedanken der Transparenz unserer Ziele und unseres Tuns besonders verpflichtet. Unseren Einfluss nutzen wir, um auf die </w:t>
      </w:r>
      <w:r w:rsidR="00234E05" w:rsidRPr="00906EDA">
        <w:rPr>
          <w:szCs w:val="24"/>
        </w:rPr>
        <w:lastRenderedPageBreak/>
        <w:t>Belange unserer Branche aufmerksam zu machen und uns für wettbewerbsfähige Rahmenbedingungen für unser Geschäft einzusetzen</w:t>
      </w:r>
      <w:r w:rsidRPr="00906EDA">
        <w:rPr>
          <w:szCs w:val="24"/>
        </w:rPr>
        <w:t>.</w:t>
      </w:r>
    </w:p>
    <w:p w14:paraId="09B64637" w14:textId="77777777" w:rsidR="00B30032" w:rsidRPr="00906EDA" w:rsidRDefault="00B30032" w:rsidP="00B37DDF">
      <w:pPr>
        <w:spacing w:line="320" w:lineRule="exact"/>
        <w:ind w:right="1700"/>
        <w:jc w:val="both"/>
        <w:rPr>
          <w:szCs w:val="24"/>
        </w:rPr>
      </w:pPr>
    </w:p>
    <w:p w14:paraId="3F12C5D6" w14:textId="3250A5C4" w:rsidR="00B20612" w:rsidRPr="00906EDA" w:rsidRDefault="00040A83" w:rsidP="00B37DDF">
      <w:pPr>
        <w:spacing w:line="320" w:lineRule="exact"/>
        <w:ind w:right="1700"/>
        <w:jc w:val="both"/>
        <w:rPr>
          <w:szCs w:val="24"/>
        </w:rPr>
      </w:pPr>
      <w:r w:rsidRPr="00906EDA">
        <w:rPr>
          <w:szCs w:val="24"/>
        </w:rPr>
        <w:t xml:space="preserve">Unserer gesellschaftlichen Verantwortung wollen wir auch durch unser gesellschaftliches Engagement gerecht werden. </w:t>
      </w:r>
      <w:r w:rsidR="001075FC" w:rsidRPr="00906EDA">
        <w:rPr>
          <w:szCs w:val="24"/>
        </w:rPr>
        <w:t>Beispielsweise</w:t>
      </w:r>
      <w:r w:rsidRPr="00906EDA">
        <w:rPr>
          <w:szCs w:val="24"/>
        </w:rPr>
        <w:t xml:space="preserve"> </w:t>
      </w:r>
      <w:r w:rsidR="007025DE" w:rsidRPr="00906EDA">
        <w:rPr>
          <w:szCs w:val="24"/>
        </w:rPr>
        <w:t>fördern</w:t>
      </w:r>
      <w:r w:rsidRPr="00906EDA">
        <w:rPr>
          <w:szCs w:val="24"/>
        </w:rPr>
        <w:t xml:space="preserve"> wir seit Jahren mit der Schirn </w:t>
      </w:r>
      <w:r w:rsidR="00073F1D" w:rsidRPr="00906EDA">
        <w:rPr>
          <w:szCs w:val="24"/>
        </w:rPr>
        <w:t xml:space="preserve">Kunsthalle </w:t>
      </w:r>
      <w:r w:rsidRPr="00906EDA">
        <w:rPr>
          <w:szCs w:val="24"/>
        </w:rPr>
        <w:t xml:space="preserve">eine bedeutende Kultureinrichtung in Frankfurt am Main, unserem Unternehmenssitz. Die „Gemeinnützige Stiftung der Deutschen Beteiligungs AG“ </w:t>
      </w:r>
      <w:r w:rsidR="009E7152" w:rsidRPr="00906EDA">
        <w:rPr>
          <w:szCs w:val="24"/>
        </w:rPr>
        <w:t xml:space="preserve">hat </w:t>
      </w:r>
      <w:r w:rsidR="00F8658F" w:rsidRPr="00906EDA">
        <w:rPr>
          <w:szCs w:val="24"/>
        </w:rPr>
        <w:t xml:space="preserve">im </w:t>
      </w:r>
      <w:r w:rsidR="00906EDA" w:rsidRPr="00906EDA">
        <w:rPr>
          <w:szCs w:val="24"/>
        </w:rPr>
        <w:t>v</w:t>
      </w:r>
      <w:r w:rsidR="00F8658F" w:rsidRPr="00906EDA">
        <w:rPr>
          <w:szCs w:val="24"/>
        </w:rPr>
        <w:t>ergangen</w:t>
      </w:r>
      <w:r w:rsidR="00906EDA" w:rsidRPr="00906EDA">
        <w:rPr>
          <w:szCs w:val="24"/>
        </w:rPr>
        <w:t xml:space="preserve">en </w:t>
      </w:r>
      <w:r w:rsidR="00F8658F" w:rsidRPr="00906EDA">
        <w:rPr>
          <w:szCs w:val="24"/>
        </w:rPr>
        <w:t xml:space="preserve">Jahr </w:t>
      </w:r>
      <w:r w:rsidR="00AA3AF0">
        <w:rPr>
          <w:szCs w:val="24"/>
        </w:rPr>
        <w:t>2</w:t>
      </w:r>
      <w:r w:rsidR="00AA3AF0" w:rsidRPr="00906EDA">
        <w:rPr>
          <w:szCs w:val="24"/>
        </w:rPr>
        <w:t xml:space="preserve"> </w:t>
      </w:r>
      <w:r w:rsidR="00F8658F" w:rsidRPr="00906EDA">
        <w:rPr>
          <w:szCs w:val="24"/>
        </w:rPr>
        <w:t xml:space="preserve">Projekte zur Unterstützung von Kindern und Jugendlichen in Frankfurt gefördert und zudem die Witwe eines verstorbenen </w:t>
      </w:r>
      <w:r w:rsidRPr="00906EDA">
        <w:rPr>
          <w:szCs w:val="24"/>
        </w:rPr>
        <w:t>Mitarbeiter</w:t>
      </w:r>
      <w:r w:rsidR="00F8658F" w:rsidRPr="00906EDA">
        <w:rPr>
          <w:szCs w:val="24"/>
        </w:rPr>
        <w:t xml:space="preserve">s eines </w:t>
      </w:r>
      <w:r w:rsidRPr="00906EDA">
        <w:rPr>
          <w:szCs w:val="24"/>
        </w:rPr>
        <w:t>Portfoliounternehmen</w:t>
      </w:r>
      <w:r w:rsidR="00F8658F" w:rsidRPr="00906EDA">
        <w:rPr>
          <w:szCs w:val="24"/>
        </w:rPr>
        <w:t>s unterstützt</w:t>
      </w:r>
      <w:r w:rsidR="00906EDA">
        <w:rPr>
          <w:szCs w:val="24"/>
        </w:rPr>
        <w:t>.</w:t>
      </w:r>
    </w:p>
    <w:p w14:paraId="60A6F2DE" w14:textId="77777777" w:rsidR="00CA1010" w:rsidRPr="00906EDA" w:rsidRDefault="00CA1010" w:rsidP="00B37DDF">
      <w:pPr>
        <w:spacing w:line="320" w:lineRule="exact"/>
        <w:ind w:right="1700"/>
        <w:jc w:val="both"/>
        <w:rPr>
          <w:szCs w:val="24"/>
        </w:rPr>
      </w:pPr>
    </w:p>
    <w:p w14:paraId="78146B24" w14:textId="43CA8A28" w:rsidR="00B30032" w:rsidRPr="00906EDA" w:rsidRDefault="00040A83" w:rsidP="00B37DDF">
      <w:pPr>
        <w:pStyle w:val="berschrift2"/>
      </w:pPr>
      <w:r w:rsidRPr="00906EDA">
        <w:t>Werte schaffen</w:t>
      </w:r>
    </w:p>
    <w:p w14:paraId="425F348C" w14:textId="2CDBA6EF" w:rsidR="00B30032" w:rsidRPr="00906EDA" w:rsidRDefault="00040A83" w:rsidP="00B37DDF">
      <w:pPr>
        <w:spacing w:line="320" w:lineRule="exact"/>
        <w:ind w:right="1700"/>
        <w:jc w:val="both"/>
        <w:rPr>
          <w:szCs w:val="24"/>
        </w:rPr>
      </w:pPr>
      <w:r w:rsidRPr="00906EDA">
        <w:rPr>
          <w:szCs w:val="24"/>
        </w:rPr>
        <w:t>Das zentrale wirtschaftliche Ziel unserer Geschäftstätigkeit ist, den Unternehmenswert der</w:t>
      </w:r>
      <w:r w:rsidR="00823367" w:rsidRPr="00906EDA">
        <w:rPr>
          <w:szCs w:val="24"/>
        </w:rPr>
        <w:t xml:space="preserve"> </w:t>
      </w:r>
      <w:r w:rsidRPr="00906EDA">
        <w:rPr>
          <w:szCs w:val="24"/>
        </w:rPr>
        <w:t xml:space="preserve">Deutschen Beteiligungs AG </w:t>
      </w:r>
      <w:r w:rsidR="00831110" w:rsidRPr="00906EDA">
        <w:rPr>
          <w:szCs w:val="24"/>
        </w:rPr>
        <w:t xml:space="preserve">nachhaltig </w:t>
      </w:r>
      <w:r w:rsidRPr="00906EDA">
        <w:rPr>
          <w:szCs w:val="24"/>
        </w:rPr>
        <w:t>langfristig zu steigern. Wir erreichen dieses Ziel durch die Steigerung des Wertes unserer beiden Geschäftsfelder Private-</w:t>
      </w:r>
      <w:r w:rsidR="00E40D2E" w:rsidRPr="00906EDA">
        <w:rPr>
          <w:szCs w:val="24"/>
        </w:rPr>
        <w:t>Markets</w:t>
      </w:r>
      <w:r w:rsidRPr="00906EDA">
        <w:rPr>
          <w:szCs w:val="24"/>
        </w:rPr>
        <w:t>-Investments und Fondsberatung</w:t>
      </w:r>
      <w:r w:rsidR="00831110" w:rsidRPr="00906EDA">
        <w:rPr>
          <w:szCs w:val="24"/>
        </w:rPr>
        <w:t xml:space="preserve"> unter Berücksichtigung</w:t>
      </w:r>
      <w:r w:rsidRPr="00906EDA">
        <w:rPr>
          <w:szCs w:val="24"/>
        </w:rPr>
        <w:t xml:space="preserve"> </w:t>
      </w:r>
      <w:r w:rsidR="00831110" w:rsidRPr="00906EDA">
        <w:rPr>
          <w:szCs w:val="24"/>
        </w:rPr>
        <w:t xml:space="preserve">ökologischer und sozialer Aspekte sowie einer guten Unternehmensführung. </w:t>
      </w:r>
      <w:r w:rsidRPr="00906EDA">
        <w:rPr>
          <w:szCs w:val="24"/>
        </w:rPr>
        <w:t>Unseren Erfolg zu beurteilen erfordert – wie in der Private-Equity-Branche üblich – einen langen Betrachtungshorizont.</w:t>
      </w:r>
    </w:p>
    <w:p w14:paraId="596FAB0F" w14:textId="77777777" w:rsidR="00B30032" w:rsidRPr="00906EDA" w:rsidRDefault="00B30032" w:rsidP="00B37DDF">
      <w:pPr>
        <w:spacing w:line="320" w:lineRule="exact"/>
        <w:ind w:right="1700"/>
        <w:jc w:val="both"/>
        <w:rPr>
          <w:szCs w:val="24"/>
        </w:rPr>
      </w:pPr>
    </w:p>
    <w:p w14:paraId="2C02543D" w14:textId="083D4ACB" w:rsidR="00B30032" w:rsidRPr="00906EDA" w:rsidRDefault="00040A83" w:rsidP="00B37DDF">
      <w:pPr>
        <w:spacing w:line="320" w:lineRule="exact"/>
        <w:ind w:right="1700"/>
        <w:jc w:val="both"/>
        <w:rPr>
          <w:szCs w:val="24"/>
        </w:rPr>
      </w:pPr>
      <w:r w:rsidRPr="00906EDA">
        <w:rPr>
          <w:szCs w:val="24"/>
        </w:rPr>
        <w:t>Die Aktionäre</w:t>
      </w:r>
      <w:r w:rsidR="005C21CB" w:rsidRPr="00906EDA">
        <w:rPr>
          <w:szCs w:val="24"/>
        </w:rPr>
        <w:t xml:space="preserve"> werden</w:t>
      </w:r>
      <w:r w:rsidRPr="00906EDA">
        <w:rPr>
          <w:szCs w:val="24"/>
        </w:rPr>
        <w:t xml:space="preserve"> an finanziellen Überschüssen </w:t>
      </w:r>
      <w:r w:rsidR="005C21CB" w:rsidRPr="00906EDA">
        <w:rPr>
          <w:szCs w:val="24"/>
        </w:rPr>
        <w:t>in Form stabiler Dividenden in Höhe von mindestens 1,00 Euro je dividendenberechtigter Aktie</w:t>
      </w:r>
      <w:r w:rsidR="00F50DAB" w:rsidRPr="00906EDA">
        <w:rPr>
          <w:szCs w:val="24"/>
        </w:rPr>
        <w:t xml:space="preserve"> </w:t>
      </w:r>
      <w:r w:rsidR="005C21CB" w:rsidRPr="00906EDA">
        <w:rPr>
          <w:szCs w:val="24"/>
        </w:rPr>
        <w:t>beteiligt.</w:t>
      </w:r>
      <w:r w:rsidR="001E29B1" w:rsidRPr="00906EDA">
        <w:rPr>
          <w:szCs w:val="24"/>
        </w:rPr>
        <w:t xml:space="preserve"> Darüber hinaus kaufen wir</w:t>
      </w:r>
      <w:r w:rsidR="00651309" w:rsidRPr="00906EDA">
        <w:rPr>
          <w:szCs w:val="24"/>
        </w:rPr>
        <w:t xml:space="preserve"> laufend</w:t>
      </w:r>
      <w:r w:rsidR="001E29B1" w:rsidRPr="00906EDA">
        <w:rPr>
          <w:szCs w:val="24"/>
        </w:rPr>
        <w:t xml:space="preserve"> Aktien zurück, um so überschüssiges Kapital auf flexible Weise an die Aktionäre zurückzugeben und diese so zusätzlich an einer positiven Entwicklung des Unternehmens teilhaben zu lassen.</w:t>
      </w:r>
    </w:p>
    <w:p w14:paraId="70667050" w14:textId="77777777" w:rsidR="00B30032" w:rsidRPr="00906EDA" w:rsidRDefault="00B30032" w:rsidP="00B37DDF">
      <w:pPr>
        <w:spacing w:line="320" w:lineRule="exact"/>
        <w:ind w:right="1700"/>
        <w:jc w:val="both"/>
        <w:rPr>
          <w:szCs w:val="24"/>
        </w:rPr>
      </w:pPr>
    </w:p>
    <w:p w14:paraId="24EFAA32" w14:textId="4901DD25" w:rsidR="00B30032" w:rsidRPr="00906EDA" w:rsidRDefault="00040A83" w:rsidP="00B37DDF">
      <w:pPr>
        <w:spacing w:line="320" w:lineRule="exact"/>
        <w:ind w:right="1700"/>
        <w:jc w:val="both"/>
        <w:rPr>
          <w:szCs w:val="24"/>
        </w:rPr>
      </w:pPr>
      <w:r w:rsidRPr="00906EDA">
        <w:rPr>
          <w:szCs w:val="24"/>
        </w:rPr>
        <w:t xml:space="preserve">Seit ihrer Gründung vor </w:t>
      </w:r>
      <w:r w:rsidR="001E29B1" w:rsidRPr="00906EDA">
        <w:rPr>
          <w:szCs w:val="24"/>
        </w:rPr>
        <w:t>60</w:t>
      </w:r>
      <w:r w:rsidRPr="00906EDA">
        <w:rPr>
          <w:szCs w:val="24"/>
        </w:rPr>
        <w:t xml:space="preserve"> Jahren fühlt sich die DBAG dem Mittelstand verpflichtet. Sie kennt daher die besonderen Erwartungen und Bedürfnisse mittelständischer Unternehmen und deren Gesellschafter. Geschäftsführer und Mitgesellschafter der Portfoliounternehmen können auf die DBAG in vielfältiger Form zählen: Mit maßgeschneiderten Eigen</w:t>
      </w:r>
      <w:r w:rsidR="00893DFC" w:rsidRPr="00906EDA">
        <w:rPr>
          <w:szCs w:val="24"/>
        </w:rPr>
        <w:t>- und Fremd</w:t>
      </w:r>
      <w:r w:rsidRPr="00906EDA">
        <w:rPr>
          <w:szCs w:val="24"/>
        </w:rPr>
        <w:t xml:space="preserve">kapitallösungen schaffen wir die Freiräume für die Geschäftsführungen, </w:t>
      </w:r>
      <w:r w:rsidR="001075FC" w:rsidRPr="00906EDA">
        <w:rPr>
          <w:szCs w:val="24"/>
        </w:rPr>
        <w:t xml:space="preserve">damit sie </w:t>
      </w:r>
      <w:r w:rsidRPr="00906EDA">
        <w:rPr>
          <w:szCs w:val="24"/>
        </w:rPr>
        <w:t>unternehmerische Ideen und langfristig wertsteigernde Konzepte umsetzen</w:t>
      </w:r>
      <w:r w:rsidR="001075FC" w:rsidRPr="00906EDA">
        <w:rPr>
          <w:szCs w:val="24"/>
        </w:rPr>
        <w:t xml:space="preserve"> können</w:t>
      </w:r>
      <w:r w:rsidRPr="00906EDA">
        <w:rPr>
          <w:szCs w:val="24"/>
        </w:rPr>
        <w:t>; mit unserer Branchen</w:t>
      </w:r>
      <w:r w:rsidR="001075FC" w:rsidRPr="00906EDA">
        <w:rPr>
          <w:szCs w:val="24"/>
        </w:rPr>
        <w:t>kenntnis</w:t>
      </w:r>
      <w:r w:rsidRPr="00906EDA">
        <w:rPr>
          <w:szCs w:val="24"/>
        </w:rPr>
        <w:t xml:space="preserve"> und Erfahrung sind wir der ideale Partner bei der Begleitung von Wachstumsstrategien und Veränderungsprozessen</w:t>
      </w:r>
      <w:r w:rsidR="00234E05" w:rsidRPr="00906EDA">
        <w:rPr>
          <w:szCs w:val="24"/>
        </w:rPr>
        <w:t xml:space="preserve">. Über ihren deutschen Heimatmarkt hinaus ist die DBAG mit </w:t>
      </w:r>
      <w:r w:rsidR="001E29B1" w:rsidRPr="00906EDA">
        <w:rPr>
          <w:szCs w:val="24"/>
        </w:rPr>
        <w:t>ihrem</w:t>
      </w:r>
      <w:r w:rsidR="00234E05" w:rsidRPr="00906EDA">
        <w:rPr>
          <w:szCs w:val="24"/>
        </w:rPr>
        <w:t xml:space="preserve"> Büro in Mailand außerdem in Italien vertreten.</w:t>
      </w:r>
    </w:p>
    <w:p w14:paraId="196100D4" w14:textId="77777777" w:rsidR="00B30032" w:rsidRPr="00906EDA" w:rsidRDefault="00B30032" w:rsidP="00B37DDF">
      <w:pPr>
        <w:spacing w:line="320" w:lineRule="exact"/>
        <w:ind w:right="1700"/>
        <w:jc w:val="both"/>
        <w:rPr>
          <w:szCs w:val="24"/>
        </w:rPr>
      </w:pPr>
    </w:p>
    <w:p w14:paraId="3969957D" w14:textId="77777777" w:rsidR="00B30032" w:rsidRPr="00906EDA" w:rsidRDefault="00040A83" w:rsidP="00B37DDF">
      <w:pPr>
        <w:pStyle w:val="berschrift2"/>
      </w:pPr>
      <w:r w:rsidRPr="00906EDA">
        <w:t>Regeln befolgen</w:t>
      </w:r>
    </w:p>
    <w:p w14:paraId="2298B966" w14:textId="5FA26BD8" w:rsidR="00B30032" w:rsidRPr="00906EDA" w:rsidRDefault="00040A83" w:rsidP="00B37DDF">
      <w:pPr>
        <w:spacing w:line="320" w:lineRule="exact"/>
        <w:ind w:right="1700"/>
        <w:jc w:val="both"/>
        <w:rPr>
          <w:szCs w:val="24"/>
        </w:rPr>
      </w:pPr>
      <w:r w:rsidRPr="00906EDA">
        <w:rPr>
          <w:szCs w:val="24"/>
        </w:rPr>
        <w:t xml:space="preserve">Die Unternehmensführung der Deutschen Beteiligungs AG und ihrer Konzernunternehmen </w:t>
      </w:r>
      <w:r w:rsidR="001075FC" w:rsidRPr="00906EDA">
        <w:rPr>
          <w:szCs w:val="24"/>
        </w:rPr>
        <w:t>steh</w:t>
      </w:r>
      <w:r w:rsidR="00215127" w:rsidRPr="00906EDA">
        <w:rPr>
          <w:szCs w:val="24"/>
        </w:rPr>
        <w:t>t</w:t>
      </w:r>
      <w:r w:rsidR="001075FC" w:rsidRPr="00906EDA">
        <w:rPr>
          <w:szCs w:val="24"/>
        </w:rPr>
        <w:t xml:space="preserve"> i</w:t>
      </w:r>
      <w:r w:rsidR="00A24899" w:rsidRPr="00906EDA">
        <w:rPr>
          <w:szCs w:val="24"/>
        </w:rPr>
        <w:t>n</w:t>
      </w:r>
      <w:r w:rsidR="001075FC" w:rsidRPr="00906EDA">
        <w:rPr>
          <w:szCs w:val="24"/>
        </w:rPr>
        <w:t xml:space="preserve"> Einklang mit</w:t>
      </w:r>
      <w:r w:rsidRPr="00906EDA">
        <w:rPr>
          <w:szCs w:val="24"/>
        </w:rPr>
        <w:t xml:space="preserve"> dem Verhaltenskodex der DBAG, der wesentlicher Bestandteil unseres Compliance-Systems und auf </w:t>
      </w:r>
      <w:r w:rsidR="00DF469D" w:rsidRPr="00906EDA">
        <w:rPr>
          <w:szCs w:val="24"/>
        </w:rPr>
        <w:t xml:space="preserve">unserer Internetseite </w:t>
      </w:r>
      <w:r w:rsidR="00541CD7" w:rsidRPr="00906EDA">
        <w:rPr>
          <w:szCs w:val="24"/>
        </w:rPr>
        <w:t xml:space="preserve">unter </w:t>
      </w:r>
      <w:r w:rsidR="00893DFC" w:rsidRPr="00906EDA">
        <w:rPr>
          <w:szCs w:val="24"/>
        </w:rPr>
        <w:t>https://www.dbag.de/shareholder-relations/</w:t>
      </w:r>
      <w:r w:rsidR="00541CD7" w:rsidRPr="00906EDA">
        <w:rPr>
          <w:szCs w:val="24"/>
        </w:rPr>
        <w:t>corporate-governance</w:t>
      </w:r>
      <w:r w:rsidR="00073F1D">
        <w:rPr>
          <w:szCs w:val="24"/>
        </w:rPr>
        <w:t xml:space="preserve"> </w:t>
      </w:r>
      <w:r w:rsidRPr="00906EDA">
        <w:rPr>
          <w:szCs w:val="24"/>
        </w:rPr>
        <w:t xml:space="preserve">veröffentlicht ist. Wir sind uns bewusst, dass nur durch verantwortungsbewusstes </w:t>
      </w:r>
      <w:r w:rsidRPr="00906EDA">
        <w:rPr>
          <w:szCs w:val="24"/>
        </w:rPr>
        <w:lastRenderedPageBreak/>
        <w:t xml:space="preserve">Handeln unter Beachtung ethischer Prinzipien die Interessen des Unternehmens und seiner Partner, </w:t>
      </w:r>
      <w:r w:rsidR="001075FC" w:rsidRPr="00906EDA">
        <w:rPr>
          <w:szCs w:val="24"/>
        </w:rPr>
        <w:t>beispielsweise</w:t>
      </w:r>
      <w:r w:rsidRPr="00906EDA">
        <w:rPr>
          <w:szCs w:val="24"/>
        </w:rPr>
        <w:t xml:space="preserve"> unserer Portfoliounternehmen, wirksam gewahrt werden können. Diese Prinzipien haben wir in unserem Verhaltenskodex eindeutig </w:t>
      </w:r>
      <w:r w:rsidR="001075FC" w:rsidRPr="00906EDA">
        <w:rPr>
          <w:szCs w:val="24"/>
        </w:rPr>
        <w:t xml:space="preserve">formuliert und </w:t>
      </w:r>
      <w:r w:rsidRPr="00906EDA">
        <w:rPr>
          <w:szCs w:val="24"/>
        </w:rPr>
        <w:t>festgehalten.</w:t>
      </w:r>
    </w:p>
    <w:p w14:paraId="580D417D" w14:textId="77777777" w:rsidR="00B30032" w:rsidRPr="00906EDA" w:rsidRDefault="00B30032" w:rsidP="00B37DDF">
      <w:pPr>
        <w:spacing w:line="320" w:lineRule="exact"/>
        <w:ind w:right="1700"/>
        <w:jc w:val="both"/>
        <w:rPr>
          <w:szCs w:val="24"/>
        </w:rPr>
      </w:pPr>
    </w:p>
    <w:p w14:paraId="0F964489" w14:textId="6560160B" w:rsidR="00B30032" w:rsidRPr="00906EDA" w:rsidRDefault="00040A83" w:rsidP="00B37DDF">
      <w:pPr>
        <w:spacing w:line="320" w:lineRule="exact"/>
        <w:ind w:right="1700"/>
        <w:jc w:val="both"/>
        <w:rPr>
          <w:szCs w:val="24"/>
        </w:rPr>
      </w:pPr>
      <w:r w:rsidRPr="00906EDA">
        <w:rPr>
          <w:szCs w:val="24"/>
        </w:rPr>
        <w:t xml:space="preserve">Die Verhaltensgrundsätze, die für alle Mitarbeiterinnen und Mitarbeiter des DBAG-Konzerns gelten, enthalten fundamentale Regeln zum Umgang mit vertraulichen Informationen, mit Geschäftspartnern, </w:t>
      </w:r>
      <w:r w:rsidR="00073F1D">
        <w:rPr>
          <w:szCs w:val="24"/>
        </w:rPr>
        <w:t xml:space="preserve">mit </w:t>
      </w:r>
      <w:r w:rsidRPr="00906EDA">
        <w:rPr>
          <w:szCs w:val="24"/>
        </w:rPr>
        <w:t xml:space="preserve">Spenden und </w:t>
      </w:r>
      <w:r w:rsidR="001075FC" w:rsidRPr="00906EDA">
        <w:rPr>
          <w:szCs w:val="24"/>
        </w:rPr>
        <w:t>für das</w:t>
      </w:r>
      <w:r w:rsidRPr="00906EDA">
        <w:rPr>
          <w:szCs w:val="24"/>
        </w:rPr>
        <w:t xml:space="preserve"> Sozialverhalten im Unternehmen. Sie sind darauf gerichtet, das Bewusstsein aller Mitarbeiterinnen und Mitarbeiter für die Vermeidung jedweden Verhaltens zum Schaden der DBAG oder des Konzerns zu schärfen. Außerdem enthalten die Grundsätze restriktive Regeln zum Handel in DBAG-Aktien. Nicht gestattet ist der Handel in Aktien von Unternehmen, an denen die Deutsche Beteiligungs AG beteiligt ist oder eine Beteiligung prüft; ebenso untersagt ist der Handel in Aktien von </w:t>
      </w:r>
      <w:r w:rsidR="008233D8" w:rsidRPr="00906EDA">
        <w:rPr>
          <w:szCs w:val="24"/>
        </w:rPr>
        <w:t>Gesellschaften,</w:t>
      </w:r>
      <w:r w:rsidRPr="00906EDA">
        <w:rPr>
          <w:szCs w:val="24"/>
        </w:rPr>
        <w:t xml:space="preserve"> aus deren Portfolio die Deutsche Beteiligungs AG einen Unternehmenserwerb konkret in Erwägung zieht.</w:t>
      </w:r>
    </w:p>
    <w:p w14:paraId="12CFF35F" w14:textId="77777777" w:rsidR="00B30032" w:rsidRPr="00906EDA" w:rsidRDefault="00B30032" w:rsidP="00B37DDF">
      <w:pPr>
        <w:spacing w:line="320" w:lineRule="exact"/>
        <w:ind w:right="1700"/>
        <w:jc w:val="both"/>
        <w:rPr>
          <w:szCs w:val="24"/>
        </w:rPr>
      </w:pPr>
    </w:p>
    <w:p w14:paraId="4EB82E72" w14:textId="09321725" w:rsidR="00B30032" w:rsidRPr="00906EDA" w:rsidRDefault="00040A83" w:rsidP="00B37DDF">
      <w:pPr>
        <w:spacing w:line="320" w:lineRule="exact"/>
        <w:ind w:right="1700"/>
        <w:jc w:val="both"/>
        <w:rPr>
          <w:szCs w:val="24"/>
        </w:rPr>
      </w:pPr>
      <w:r w:rsidRPr="00906EDA">
        <w:rPr>
          <w:szCs w:val="24"/>
        </w:rPr>
        <w:t xml:space="preserve">Unsere Organisation ist mit </w:t>
      </w:r>
      <w:r w:rsidR="00AA3AF0">
        <w:rPr>
          <w:szCs w:val="24"/>
        </w:rPr>
        <w:t>rund</w:t>
      </w:r>
      <w:r w:rsidR="00AA3AF0" w:rsidRPr="00906EDA">
        <w:rPr>
          <w:szCs w:val="24"/>
        </w:rPr>
        <w:t xml:space="preserve"> </w:t>
      </w:r>
      <w:r w:rsidR="006A7BAB">
        <w:rPr>
          <w:szCs w:val="24"/>
        </w:rPr>
        <w:t>120</w:t>
      </w:r>
      <w:r w:rsidRPr="00906EDA">
        <w:rPr>
          <w:szCs w:val="24"/>
        </w:rPr>
        <w:t xml:space="preserve"> Mitarbeiterinnen und Mitarbeitern </w:t>
      </w:r>
      <w:r w:rsidR="005D6473" w:rsidRPr="00906EDA">
        <w:rPr>
          <w:szCs w:val="24"/>
        </w:rPr>
        <w:t xml:space="preserve">in Frankfurt, Mailand und Luxemburg </w:t>
      </w:r>
      <w:r w:rsidR="001E29B1" w:rsidRPr="00906EDA">
        <w:rPr>
          <w:szCs w:val="24"/>
        </w:rPr>
        <w:t>gut steuerbar</w:t>
      </w:r>
      <w:r w:rsidRPr="00906EDA">
        <w:rPr>
          <w:szCs w:val="24"/>
        </w:rPr>
        <w:t xml:space="preserve">. Die Verbreitung und </w:t>
      </w:r>
      <w:r w:rsidR="00AA3AF0">
        <w:rPr>
          <w:szCs w:val="24"/>
        </w:rPr>
        <w:t xml:space="preserve">die </w:t>
      </w:r>
      <w:r w:rsidRPr="00906EDA">
        <w:rPr>
          <w:szCs w:val="24"/>
        </w:rPr>
        <w:t xml:space="preserve">Anwendung </w:t>
      </w:r>
      <w:r w:rsidR="001E29B1" w:rsidRPr="00906EDA">
        <w:rPr>
          <w:szCs w:val="24"/>
        </w:rPr>
        <w:t>des</w:t>
      </w:r>
      <w:r w:rsidRPr="00906EDA">
        <w:rPr>
          <w:szCs w:val="24"/>
        </w:rPr>
        <w:t xml:space="preserve"> </w:t>
      </w:r>
      <w:r w:rsidR="001E29B1" w:rsidRPr="00906EDA">
        <w:rPr>
          <w:szCs w:val="24"/>
        </w:rPr>
        <w:t>Verhaltenskodex</w:t>
      </w:r>
      <w:r w:rsidRPr="00906EDA">
        <w:rPr>
          <w:szCs w:val="24"/>
        </w:rPr>
        <w:t xml:space="preserve"> </w:t>
      </w:r>
      <w:r w:rsidR="00651309" w:rsidRPr="00906EDA">
        <w:rPr>
          <w:szCs w:val="24"/>
        </w:rPr>
        <w:t>werden</w:t>
      </w:r>
      <w:r w:rsidRPr="00906EDA">
        <w:rPr>
          <w:szCs w:val="24"/>
        </w:rPr>
        <w:t xml:space="preserve"> </w:t>
      </w:r>
      <w:r w:rsidR="001075FC" w:rsidRPr="00906EDA">
        <w:rPr>
          <w:szCs w:val="24"/>
        </w:rPr>
        <w:t>vom</w:t>
      </w:r>
      <w:r w:rsidRPr="00906EDA">
        <w:rPr>
          <w:szCs w:val="24"/>
        </w:rPr>
        <w:t xml:space="preserve"> Vorstand persönlich eingefordert und </w:t>
      </w:r>
      <w:r w:rsidR="001075FC" w:rsidRPr="00906EDA">
        <w:rPr>
          <w:szCs w:val="24"/>
        </w:rPr>
        <w:t>vom</w:t>
      </w:r>
      <w:r w:rsidRPr="00906EDA">
        <w:rPr>
          <w:szCs w:val="24"/>
        </w:rPr>
        <w:t xml:space="preserve"> Compliance-Beauftragten, der direkt an den Vorstand berichtet, überwacht.</w:t>
      </w:r>
    </w:p>
    <w:p w14:paraId="0ADAA854" w14:textId="77777777" w:rsidR="00B30032" w:rsidRPr="00906EDA" w:rsidRDefault="00B30032" w:rsidP="00B37DDF">
      <w:pPr>
        <w:spacing w:line="320" w:lineRule="exact"/>
        <w:ind w:right="1700"/>
        <w:jc w:val="both"/>
        <w:rPr>
          <w:szCs w:val="24"/>
        </w:rPr>
      </w:pPr>
    </w:p>
    <w:p w14:paraId="01785AFD" w14:textId="36607C68" w:rsidR="00B30032" w:rsidRPr="00906EDA" w:rsidRDefault="00040A83" w:rsidP="00B37DDF">
      <w:pPr>
        <w:spacing w:line="320" w:lineRule="exact"/>
        <w:ind w:right="1700"/>
        <w:jc w:val="both"/>
        <w:rPr>
          <w:szCs w:val="24"/>
        </w:rPr>
      </w:pPr>
      <w:r w:rsidRPr="00906EDA">
        <w:rPr>
          <w:szCs w:val="24"/>
        </w:rPr>
        <w:t>Unser Verhaltenskodex und das Compliance-System sind Gegenstand von Mitarbeitergesprächen und Schulungsmaßnahmen.</w:t>
      </w:r>
    </w:p>
    <w:p w14:paraId="606ABFBD" w14:textId="77777777" w:rsidR="00CD5271" w:rsidRPr="00906EDA" w:rsidRDefault="00CD5271" w:rsidP="00B37DDF">
      <w:pPr>
        <w:spacing w:line="320" w:lineRule="exact"/>
      </w:pPr>
    </w:p>
    <w:p w14:paraId="1866683B" w14:textId="40482CD9" w:rsidR="00675BAF" w:rsidRPr="00906EDA" w:rsidRDefault="00040A83" w:rsidP="008E0CC7">
      <w:pPr>
        <w:pStyle w:val="berschrift2"/>
      </w:pPr>
      <w:r w:rsidRPr="00906EDA">
        <w:t>Compliance: Mitarbeiter, Transaktionsprozess, Portfoliounternehmen</w:t>
      </w:r>
    </w:p>
    <w:p w14:paraId="2BB95ED3" w14:textId="03C38D7E" w:rsidR="00675BAF" w:rsidRPr="00906EDA" w:rsidRDefault="00040A83" w:rsidP="00B37DDF">
      <w:pPr>
        <w:spacing w:line="320" w:lineRule="exact"/>
        <w:ind w:right="1700"/>
        <w:jc w:val="both"/>
      </w:pPr>
      <w:r w:rsidRPr="00906EDA">
        <w:t xml:space="preserve">Die Einhaltung aller auf die Deutsche Beteiligungs AG und ihre Tochtergesellschaften anwendbaren gesetzlichen Vorschriften sowie aller internen Regeln durch Management und Mitarbeiter (Compliance) ist seit </w:t>
      </w:r>
      <w:r w:rsidR="00AA3AF0">
        <w:t>L</w:t>
      </w:r>
      <w:r w:rsidRPr="00906EDA">
        <w:t xml:space="preserve">angem Ziel des Unternehmens und fester Bestandteil der Unternehmenskultur. Als Private-Equity-Gesellschaft betrachten wir jedoch nicht nur das eigene Unternehmen: Die DBAG setzt sich auch bei aktuellen und künftigen Portfoliounternehmen für die Einrichtung und Weiterentwicklung von Compliance-Systemen ein. Das Compliance-System der DBAG besteht deshalb aus </w:t>
      </w:r>
      <w:r w:rsidR="00D17B53">
        <w:t>3</w:t>
      </w:r>
      <w:r w:rsidR="00D17B53" w:rsidRPr="00906EDA">
        <w:t xml:space="preserve"> </w:t>
      </w:r>
      <w:r w:rsidRPr="00906EDA">
        <w:t>Komponenten:</w:t>
      </w:r>
    </w:p>
    <w:p w14:paraId="017791C2" w14:textId="77777777" w:rsidR="00675BAF" w:rsidRPr="00906EDA" w:rsidRDefault="00675BAF" w:rsidP="00B37DDF">
      <w:pPr>
        <w:spacing w:line="320" w:lineRule="exact"/>
        <w:ind w:right="1700"/>
        <w:jc w:val="both"/>
      </w:pPr>
    </w:p>
    <w:p w14:paraId="631F6F6E" w14:textId="5B31008E" w:rsidR="00675BAF" w:rsidRPr="00906EDA" w:rsidRDefault="00040A83" w:rsidP="00B37DDF">
      <w:pPr>
        <w:pStyle w:val="Listenabsatz"/>
        <w:numPr>
          <w:ilvl w:val="0"/>
          <w:numId w:val="14"/>
        </w:numPr>
        <w:spacing w:line="320" w:lineRule="exact"/>
        <w:ind w:right="1700"/>
        <w:jc w:val="both"/>
        <w:rPr>
          <w:szCs w:val="20"/>
          <w:lang w:eastAsia="de-DE"/>
        </w:rPr>
      </w:pPr>
      <w:r w:rsidRPr="00906EDA">
        <w:rPr>
          <w:szCs w:val="20"/>
          <w:lang w:eastAsia="de-DE"/>
        </w:rPr>
        <w:t xml:space="preserve">Compliance für DBAG-Mitarbeiterinnen und </w:t>
      </w:r>
      <w:r w:rsidR="006F671C">
        <w:rPr>
          <w:szCs w:val="20"/>
          <w:lang w:eastAsia="de-DE"/>
        </w:rPr>
        <w:t>-</w:t>
      </w:r>
      <w:r w:rsidRPr="00906EDA">
        <w:rPr>
          <w:szCs w:val="20"/>
          <w:lang w:eastAsia="de-DE"/>
        </w:rPr>
        <w:t>Mitarbeiter,</w:t>
      </w:r>
    </w:p>
    <w:p w14:paraId="4802B264" w14:textId="77777777" w:rsidR="00675BAF" w:rsidRPr="00906EDA" w:rsidRDefault="00040A83" w:rsidP="00B37DDF">
      <w:pPr>
        <w:pStyle w:val="Listenabsatz"/>
        <w:numPr>
          <w:ilvl w:val="0"/>
          <w:numId w:val="14"/>
        </w:numPr>
        <w:spacing w:line="320" w:lineRule="exact"/>
        <w:ind w:right="1700"/>
        <w:jc w:val="both"/>
        <w:rPr>
          <w:szCs w:val="20"/>
          <w:lang w:eastAsia="de-DE"/>
        </w:rPr>
      </w:pPr>
      <w:r w:rsidRPr="00906EDA">
        <w:rPr>
          <w:szCs w:val="20"/>
          <w:lang w:eastAsia="de-DE"/>
        </w:rPr>
        <w:t>Compliance in Transaktionen und</w:t>
      </w:r>
    </w:p>
    <w:p w14:paraId="2A828D0E" w14:textId="0C17D910" w:rsidR="00675BAF" w:rsidRPr="00906EDA" w:rsidRDefault="00040A83" w:rsidP="00B37DDF">
      <w:pPr>
        <w:pStyle w:val="Listenabsatz"/>
        <w:numPr>
          <w:ilvl w:val="0"/>
          <w:numId w:val="14"/>
        </w:numPr>
        <w:spacing w:line="320" w:lineRule="exact"/>
        <w:ind w:right="1700"/>
        <w:jc w:val="both"/>
        <w:rPr>
          <w:szCs w:val="20"/>
          <w:lang w:eastAsia="de-DE"/>
        </w:rPr>
      </w:pPr>
      <w:r w:rsidRPr="00906EDA">
        <w:rPr>
          <w:szCs w:val="20"/>
          <w:lang w:eastAsia="de-DE"/>
        </w:rPr>
        <w:t>Compliance in Portfoliounternehmen</w:t>
      </w:r>
      <w:r w:rsidR="00215127" w:rsidRPr="00906EDA">
        <w:rPr>
          <w:szCs w:val="20"/>
          <w:lang w:eastAsia="de-DE"/>
        </w:rPr>
        <w:t>.</w:t>
      </w:r>
    </w:p>
    <w:p w14:paraId="6D6A2D0C" w14:textId="77777777" w:rsidR="00675BAF" w:rsidRPr="00906EDA" w:rsidRDefault="00675BAF" w:rsidP="00B37DDF">
      <w:pPr>
        <w:spacing w:line="320" w:lineRule="exact"/>
        <w:ind w:right="1700"/>
        <w:jc w:val="both"/>
      </w:pPr>
    </w:p>
    <w:p w14:paraId="1D4F12D5" w14:textId="45151C74" w:rsidR="00675BAF" w:rsidRPr="00906EDA" w:rsidRDefault="00040A83" w:rsidP="00B37DDF">
      <w:pPr>
        <w:spacing w:line="320" w:lineRule="exact"/>
        <w:ind w:right="1700"/>
        <w:jc w:val="both"/>
      </w:pPr>
      <w:r w:rsidRPr="00906EDA">
        <w:t xml:space="preserve">Ein Compliance-Beauftragter überwacht die Einhaltung der im Verhaltenskodex und in der Compliance-Richtlinie festgehaltenen Regelungen durch die </w:t>
      </w:r>
      <w:r w:rsidRPr="00906EDA">
        <w:rPr>
          <w:bCs/>
        </w:rPr>
        <w:t>Mitarbeiterinnen und Mitarbeiter</w:t>
      </w:r>
      <w:r w:rsidRPr="00906EDA">
        <w:t xml:space="preserve">. Er ist in seiner Funktion unabhängig und berichtet </w:t>
      </w:r>
      <w:r w:rsidR="000E7ED9" w:rsidRPr="00906EDA">
        <w:t xml:space="preserve">an den </w:t>
      </w:r>
      <w:r w:rsidRPr="00906EDA">
        <w:t xml:space="preserve">Vorstand. Die Compliance-Richtlinie setzt </w:t>
      </w:r>
      <w:r w:rsidR="001075FC" w:rsidRPr="00906EDA">
        <w:t>unter anderem</w:t>
      </w:r>
      <w:r w:rsidRPr="00906EDA">
        <w:t xml:space="preserve"> den Rahmen </w:t>
      </w:r>
      <w:r w:rsidRPr="00906EDA">
        <w:lastRenderedPageBreak/>
        <w:t>für das Annehmen und Anbieten von Geschenken, für Bewirtungen und für Einladungen zu Veranstaltungen.</w:t>
      </w:r>
    </w:p>
    <w:p w14:paraId="7D923763" w14:textId="77777777" w:rsidR="00675BAF" w:rsidRPr="00906EDA" w:rsidRDefault="00675BAF" w:rsidP="00B37DDF">
      <w:pPr>
        <w:spacing w:line="320" w:lineRule="exact"/>
        <w:ind w:right="1700"/>
        <w:jc w:val="both"/>
      </w:pPr>
    </w:p>
    <w:p w14:paraId="6D63D224" w14:textId="5A713C6D" w:rsidR="00675BAF" w:rsidRPr="00906EDA" w:rsidRDefault="006F671C" w:rsidP="00B37DDF">
      <w:pPr>
        <w:spacing w:line="320" w:lineRule="exact"/>
        <w:ind w:right="1700"/>
        <w:jc w:val="both"/>
      </w:pPr>
      <w:r>
        <w:t xml:space="preserve">Darüber hinaus </w:t>
      </w:r>
      <w:r w:rsidR="00040A83" w:rsidRPr="00906EDA">
        <w:t>haben</w:t>
      </w:r>
      <w:r>
        <w:t xml:space="preserve"> wir</w:t>
      </w:r>
      <w:r w:rsidR="00040A83" w:rsidRPr="00906EDA">
        <w:t xml:space="preserve"> einen Ombudsmann bestellt</w:t>
      </w:r>
      <w:r w:rsidR="007C3CC2">
        <w:t>;</w:t>
      </w:r>
      <w:r>
        <w:t xml:space="preserve"> </w:t>
      </w:r>
      <w:r w:rsidR="007C3CC2">
        <w:t xml:space="preserve">dabei </w:t>
      </w:r>
      <w:r>
        <w:t>handelt</w:t>
      </w:r>
      <w:r w:rsidR="007C3CC2">
        <w:t xml:space="preserve"> es</w:t>
      </w:r>
      <w:r>
        <w:t xml:space="preserve"> sich um</w:t>
      </w:r>
      <w:r w:rsidR="00040A83" w:rsidRPr="00906EDA">
        <w:t xml:space="preserve"> einen Anwalt einer spezialisierten Kanzlei. Mitarbeiter der DBAG </w:t>
      </w:r>
      <w:r w:rsidR="00EE23A4" w:rsidRPr="00906EDA">
        <w:t xml:space="preserve">und Dritte </w:t>
      </w:r>
      <w:r w:rsidR="00040A83" w:rsidRPr="00906EDA">
        <w:t>können ihm vertraulich Hinweise auf tatsächliche oder mögliche Verstöße</w:t>
      </w:r>
      <w:r w:rsidR="008A732B" w:rsidRPr="00906EDA">
        <w:t>,</w:t>
      </w:r>
      <w:r w:rsidR="00040A83" w:rsidRPr="00906EDA">
        <w:t xml:space="preserve"> insbesondere bezüglich Insiderhandel und Geldwäscherecht</w:t>
      </w:r>
      <w:r w:rsidR="008A732B" w:rsidRPr="00906EDA">
        <w:t>,</w:t>
      </w:r>
      <w:r w:rsidR="00040A83" w:rsidRPr="00906EDA">
        <w:t xml:space="preserve"> geben, aber auch Hinweise auf Compliance-Verstöße, eine Straftat oder Unregelmäßigkeiten mit Bezug auf die DBAG. Im vergangenen Geschäftsjahr sind dort keine Hinweise </w:t>
      </w:r>
      <w:r w:rsidR="00F8658F" w:rsidRPr="00906EDA">
        <w:t xml:space="preserve">in Bezug auf die DBAG </w:t>
      </w:r>
      <w:r w:rsidR="00040A83" w:rsidRPr="00906EDA">
        <w:t>eingegangen.</w:t>
      </w:r>
    </w:p>
    <w:p w14:paraId="29818E9D" w14:textId="77777777" w:rsidR="00675BAF" w:rsidRPr="00906EDA" w:rsidRDefault="00675BAF" w:rsidP="00B37DDF">
      <w:pPr>
        <w:spacing w:line="320" w:lineRule="exact"/>
        <w:ind w:right="1700"/>
        <w:jc w:val="both"/>
      </w:pPr>
    </w:p>
    <w:p w14:paraId="6A48E749" w14:textId="5879412D" w:rsidR="00675BAF" w:rsidRPr="00906EDA" w:rsidRDefault="00040A83" w:rsidP="00B37DDF">
      <w:pPr>
        <w:spacing w:line="320" w:lineRule="exact"/>
        <w:ind w:right="1700"/>
        <w:jc w:val="both"/>
      </w:pPr>
      <w:r w:rsidRPr="00906EDA">
        <w:t xml:space="preserve">Die DBAG </w:t>
      </w:r>
      <w:r w:rsidR="000734B7" w:rsidRPr="00906EDA">
        <w:t>und die DBAG</w:t>
      </w:r>
      <w:r w:rsidR="00893DFC" w:rsidRPr="00906EDA">
        <w:t>-</w:t>
      </w:r>
      <w:r w:rsidR="000734B7" w:rsidRPr="00906EDA">
        <w:t xml:space="preserve">Fonds </w:t>
      </w:r>
      <w:r w:rsidRPr="00906EDA">
        <w:t>agier</w:t>
      </w:r>
      <w:r w:rsidR="000734B7" w:rsidRPr="00906EDA">
        <w:t>en</w:t>
      </w:r>
      <w:r w:rsidRPr="00906EDA">
        <w:t xml:space="preserve"> als verantwortungsvolle Investor</w:t>
      </w:r>
      <w:r w:rsidR="000734B7" w:rsidRPr="00906EDA">
        <w:t>en</w:t>
      </w:r>
      <w:r w:rsidRPr="00906EDA">
        <w:t>. Compliance-Aspekte berücksichtigen wir deshalb auch im Transaktionsprozess, also bei der Prüfung von Investitionsgelegenheiten (Due Diligence) und in Kaufverträgen. Die Untersuchung von Compliance-Themen ist fester Bestandteil jede</w:t>
      </w:r>
      <w:r w:rsidR="00073F1D">
        <w:t>r</w:t>
      </w:r>
      <w:r w:rsidRPr="00906EDA">
        <w:t xml:space="preserve"> Due-Diligence-</w:t>
      </w:r>
      <w:r w:rsidR="00073F1D">
        <w:t>Prüfung</w:t>
      </w:r>
      <w:r w:rsidRPr="00906EDA">
        <w:t>, d</w:t>
      </w:r>
      <w:r w:rsidR="00073F1D">
        <w:t>ie</w:t>
      </w:r>
      <w:r w:rsidR="001075FC" w:rsidRPr="00906EDA">
        <w:t xml:space="preserve"> </w:t>
      </w:r>
      <w:r w:rsidRPr="00906EDA">
        <w:t>typischerweise mit einem Team spezialisierter Compliance-Anwälte durch</w:t>
      </w:r>
      <w:r w:rsidR="00073F1D">
        <w:t>geführt wird</w:t>
      </w:r>
      <w:r w:rsidRPr="00906EDA">
        <w:t xml:space="preserve">. Um die Gefahr von Haftungsfällen für die </w:t>
      </w:r>
      <w:r w:rsidR="000734B7" w:rsidRPr="00906EDA">
        <w:t xml:space="preserve">Fonds und die </w:t>
      </w:r>
      <w:r w:rsidRPr="00906EDA">
        <w:t>DBAG im Zusammenhang mit Compliance-Verstößen zu minimieren, sollen in jeden Kaufvertrag für ein Portfoliounternehmen entsprechende Gewährleistungsklauseln aufgenommen werden.</w:t>
      </w:r>
    </w:p>
    <w:p w14:paraId="09DDDBF3" w14:textId="77777777" w:rsidR="00675BAF" w:rsidRPr="00906EDA" w:rsidRDefault="00675BAF" w:rsidP="00B37DDF">
      <w:pPr>
        <w:spacing w:line="320" w:lineRule="exact"/>
        <w:ind w:right="1700"/>
        <w:jc w:val="both"/>
      </w:pPr>
    </w:p>
    <w:p w14:paraId="1F4BB97E" w14:textId="452810F1" w:rsidR="00675BAF" w:rsidRPr="00906EDA" w:rsidRDefault="00040A83" w:rsidP="00B37DDF">
      <w:pPr>
        <w:spacing w:line="320" w:lineRule="exact"/>
        <w:ind w:right="1700"/>
        <w:jc w:val="both"/>
      </w:pPr>
      <w:r w:rsidRPr="00906EDA">
        <w:t>DBAG-Mitarbeiter, die eine Aufsichtsrats- oder Beiratsfunktion in einem Portfoliounternehmen ausüben b</w:t>
      </w:r>
      <w:r w:rsidR="00D17B53">
        <w:t>zw.</w:t>
      </w:r>
      <w:r w:rsidRPr="00906EDA">
        <w:t xml:space="preserve"> als Vertreter eines Gesellschafters des Portfoliounternehmens handeln, sind angehalten, sich für die Einführung und Weiterentwicklung eines Compliance-Systems innerhalb des Portfoliounternehmens einzusetzen. Alle Portfoliounternehmen haben ein Compliance-System eingeführt oder befinden sich im Prozess der Entwicklung und Einführung eines solchen Systems.</w:t>
      </w:r>
    </w:p>
    <w:p w14:paraId="01473F6E" w14:textId="77777777" w:rsidR="00B30032" w:rsidRPr="00906EDA" w:rsidRDefault="00B30032" w:rsidP="008E0CC7">
      <w:pPr>
        <w:spacing w:line="320" w:lineRule="exact"/>
        <w:ind w:right="1700"/>
        <w:jc w:val="both"/>
        <w:rPr>
          <w:szCs w:val="24"/>
        </w:rPr>
      </w:pPr>
    </w:p>
    <w:p w14:paraId="25591630" w14:textId="77777777" w:rsidR="00B30032" w:rsidRPr="00906EDA" w:rsidRDefault="00040A83" w:rsidP="00B37DDF">
      <w:pPr>
        <w:pStyle w:val="berschrift2"/>
      </w:pPr>
      <w:r w:rsidRPr="00906EDA">
        <w:t>Vertrauen schaffen</w:t>
      </w:r>
    </w:p>
    <w:p w14:paraId="65B4E964" w14:textId="0601C62F" w:rsidR="00B30032" w:rsidRPr="00906EDA" w:rsidRDefault="00040A83" w:rsidP="00B37DDF">
      <w:pPr>
        <w:spacing w:line="320" w:lineRule="exact"/>
        <w:ind w:right="1700"/>
        <w:jc w:val="both"/>
        <w:rPr>
          <w:spacing w:val="-4"/>
          <w:szCs w:val="24"/>
        </w:rPr>
      </w:pPr>
      <w:r w:rsidRPr="00906EDA">
        <w:rPr>
          <w:szCs w:val="24"/>
        </w:rPr>
        <w:t xml:space="preserve">Wir pflegen einen offenen Umgang mit allen Anspruchsgruppen unserer Unternehmensgruppe. Mit Aktionären, Investoren der DBAG-Fonds, Mitarbeitern, Geschäftspartnern, Banken und den Medien sind wir im ständigen Dialog. Wir kommunizieren über unsere Website, im Rahmen der quartalsweisen Berichterstattung und einer </w:t>
      </w:r>
      <w:r w:rsidR="009715FB" w:rsidRPr="00906EDA">
        <w:rPr>
          <w:szCs w:val="24"/>
        </w:rPr>
        <w:t>darüber</w:t>
      </w:r>
      <w:r w:rsidR="009715FB">
        <w:rPr>
          <w:szCs w:val="24"/>
        </w:rPr>
        <w:t>hinausgehenden</w:t>
      </w:r>
      <w:r w:rsidRPr="00906EDA">
        <w:rPr>
          <w:szCs w:val="24"/>
        </w:rPr>
        <w:t xml:space="preserve"> </w:t>
      </w:r>
      <w:r w:rsidR="00831110" w:rsidRPr="00906EDA">
        <w:rPr>
          <w:szCs w:val="24"/>
        </w:rPr>
        <w:t>Unternehmenskommunikation</w:t>
      </w:r>
      <w:r w:rsidRPr="00906EDA">
        <w:rPr>
          <w:szCs w:val="24"/>
        </w:rPr>
        <w:t xml:space="preserve"> sowie durch Teilnahme an öffentlichen Diskussionsveranstaltungen</w:t>
      </w:r>
      <w:r w:rsidRPr="00906EDA">
        <w:rPr>
          <w:spacing w:val="-4"/>
          <w:szCs w:val="24"/>
        </w:rPr>
        <w:t>.</w:t>
      </w:r>
    </w:p>
    <w:p w14:paraId="4142B793" w14:textId="77777777" w:rsidR="00893DFC" w:rsidRPr="00906EDA" w:rsidRDefault="00893DFC" w:rsidP="00B37DDF">
      <w:pPr>
        <w:spacing w:line="320" w:lineRule="exact"/>
      </w:pPr>
    </w:p>
    <w:p w14:paraId="0A1EB8E8" w14:textId="2AA54CA0" w:rsidR="00464C4A" w:rsidRPr="00906EDA" w:rsidRDefault="00040A83" w:rsidP="00906EDA">
      <w:pPr>
        <w:pStyle w:val="berschrift2"/>
      </w:pPr>
      <w:r w:rsidRPr="00906EDA">
        <w:t>Gleichbehandlungsgrundsatz: Zeitnahe Information aller Zielgruppen</w:t>
      </w:r>
    </w:p>
    <w:p w14:paraId="15EBBB4F" w14:textId="3021574C" w:rsidR="00675BAF" w:rsidRPr="00906EDA" w:rsidRDefault="00040A83" w:rsidP="00B37DDF">
      <w:pPr>
        <w:spacing w:line="320" w:lineRule="exact"/>
        <w:ind w:right="1700"/>
        <w:jc w:val="both"/>
      </w:pPr>
      <w:r w:rsidRPr="00906EDA">
        <w:t xml:space="preserve">Der Anspruch, alle Zielgruppen zeitnah und gleichzeitig über ein Ereignis zu informieren, hat in unserer Unternehmenskommunikation einen hohen Stellenwert. Entsprechend veröffentlichen wir alle wesentlichen Berichte, Meldungen und Präsentationen im Internet unmittelbar mit dem jeweiligen Ereignis. Die wichtigsten Präsentationen, die wir für Gespräche mit Investoren vorbereiten, können ebenfalls auf der Website eingesehen </w:t>
      </w:r>
      <w:r w:rsidR="00831110" w:rsidRPr="00906EDA">
        <w:t xml:space="preserve">und heruntergeladen </w:t>
      </w:r>
      <w:r w:rsidRPr="00906EDA">
        <w:t xml:space="preserve">werden. Auch </w:t>
      </w:r>
      <w:r w:rsidRPr="00906EDA">
        <w:lastRenderedPageBreak/>
        <w:t xml:space="preserve">die Orte und Termine von Roadshows und Anlegerkonferenzen sind für alle Interessierten dort abrufbar. </w:t>
      </w:r>
      <w:r w:rsidR="00675099" w:rsidRPr="00906EDA">
        <w:t>D</w:t>
      </w:r>
      <w:r w:rsidRPr="00906EDA">
        <w:t xml:space="preserve">en Mitschnitt unserer mündlichen Präsentation in telefonischen Analystenkonferenzen </w:t>
      </w:r>
      <w:r w:rsidR="00675099" w:rsidRPr="00906EDA">
        <w:t xml:space="preserve">veröffentlichen wir </w:t>
      </w:r>
      <w:r w:rsidRPr="00906EDA">
        <w:t>ebenfalls auf unserer Website.</w:t>
      </w:r>
    </w:p>
    <w:p w14:paraId="0F7D931A" w14:textId="77777777" w:rsidR="00675BAF" w:rsidRPr="00906EDA" w:rsidRDefault="00675BAF" w:rsidP="00B37DDF">
      <w:pPr>
        <w:spacing w:line="320" w:lineRule="exact"/>
        <w:ind w:right="1700"/>
        <w:jc w:val="both"/>
      </w:pPr>
    </w:p>
    <w:p w14:paraId="45EE3B58" w14:textId="154F4231" w:rsidR="00A95D29" w:rsidRPr="00906EDA" w:rsidRDefault="00040A83" w:rsidP="00A95D29">
      <w:pPr>
        <w:spacing w:line="320" w:lineRule="exact"/>
        <w:ind w:right="1700"/>
        <w:jc w:val="both"/>
      </w:pPr>
      <w:r w:rsidRPr="00906EDA">
        <w:t>Unsere Hauptversammlung</w:t>
      </w:r>
      <w:r w:rsidR="00B23E3D" w:rsidRPr="00906EDA">
        <w:t xml:space="preserve"> wird</w:t>
      </w:r>
      <w:r w:rsidR="00BD0996" w:rsidRPr="00906EDA">
        <w:t>, soweit rechtlich zulässig,</w:t>
      </w:r>
      <w:r w:rsidR="00CF757B" w:rsidRPr="00906EDA">
        <w:t xml:space="preserve"> </w:t>
      </w:r>
      <w:r w:rsidR="00831110" w:rsidRPr="00906EDA">
        <w:t xml:space="preserve">vollständig </w:t>
      </w:r>
      <w:r w:rsidRPr="00906EDA">
        <w:t>im Internet übertragen. Die Aktionäre haben die Möglichkeit, ihr Stimmrecht auch durch einen Bevollmächtigten ihrer Wahl oder einen weisungsgebundenen Stimmrechtsvertreter der Gesellschaft ausüben zu lassen. Daneben ist eine Briefwahl möglich. Sämtliche Dokumente und Informationen zur Hauptversammlung sind auf unserer Website in deutscher und englischer Sprache verfügbar</w:t>
      </w:r>
      <w:r w:rsidR="00075A71" w:rsidRPr="00906EDA">
        <w:t>.</w:t>
      </w:r>
    </w:p>
    <w:p w14:paraId="3D29B7EC" w14:textId="04819F9F" w:rsidR="00EE2CCB" w:rsidRPr="00906EDA" w:rsidRDefault="00EE2CCB" w:rsidP="00A95D29">
      <w:pPr>
        <w:spacing w:line="320" w:lineRule="exact"/>
        <w:ind w:right="1700"/>
        <w:jc w:val="both"/>
      </w:pPr>
    </w:p>
    <w:p w14:paraId="41B12757" w14:textId="575731C1" w:rsidR="00B30032" w:rsidRPr="00906EDA" w:rsidRDefault="00040A83" w:rsidP="001062D3">
      <w:pPr>
        <w:pStyle w:val="berschrift1"/>
        <w:keepNext/>
        <w:spacing w:line="320" w:lineRule="exact"/>
        <w:ind w:right="1701"/>
      </w:pPr>
      <w:r w:rsidRPr="00906EDA">
        <w:t>3. Arbeitsweise von Vorstand und Aufsichtsrat sowie Zusammensetzung und Arbeitsweise ihrer Ausschüsse</w:t>
      </w:r>
    </w:p>
    <w:p w14:paraId="443F17F6" w14:textId="77777777" w:rsidR="00B30032" w:rsidRPr="00906EDA" w:rsidRDefault="00B30032" w:rsidP="008E0CC7">
      <w:pPr>
        <w:spacing w:line="320" w:lineRule="exact"/>
        <w:ind w:right="1700"/>
        <w:jc w:val="both"/>
        <w:rPr>
          <w:b/>
          <w:sz w:val="28"/>
          <w:szCs w:val="24"/>
        </w:rPr>
      </w:pPr>
    </w:p>
    <w:p w14:paraId="43870CA9" w14:textId="12132AA6" w:rsidR="00B30032" w:rsidRPr="00906EDA" w:rsidRDefault="00040A83" w:rsidP="00B37DDF">
      <w:pPr>
        <w:spacing w:line="320" w:lineRule="exact"/>
        <w:ind w:right="1700"/>
        <w:jc w:val="both"/>
        <w:rPr>
          <w:szCs w:val="24"/>
        </w:rPr>
      </w:pPr>
      <w:r w:rsidRPr="00906EDA">
        <w:rPr>
          <w:szCs w:val="24"/>
        </w:rPr>
        <w:t>Die Deutsche Beteiligungs AG ist eine Aktiengesellschaft und unterliegt dem deutschen Aktienrecht. Sie verfügt über eine duale Führungs- und Überwachungsstruktur, bestehend aus Vorstand und Aufsichtsrat. Die beiden Gremien arbeiten zum Wohl des Unternehmens eng zusammen.</w:t>
      </w:r>
    </w:p>
    <w:p w14:paraId="2EFD967F" w14:textId="77777777" w:rsidR="00B30032" w:rsidRPr="00906EDA" w:rsidRDefault="00B30032" w:rsidP="00B37DDF">
      <w:pPr>
        <w:spacing w:line="320" w:lineRule="exact"/>
        <w:ind w:right="1700"/>
        <w:jc w:val="both"/>
        <w:rPr>
          <w:szCs w:val="24"/>
        </w:rPr>
      </w:pPr>
    </w:p>
    <w:p w14:paraId="51835D94" w14:textId="77777777" w:rsidR="00B30032" w:rsidRPr="00906EDA" w:rsidRDefault="00040A83" w:rsidP="00B37DDF">
      <w:pPr>
        <w:pStyle w:val="berschrift2"/>
      </w:pPr>
      <w:r w:rsidRPr="00906EDA">
        <w:t>Vorstand</w:t>
      </w:r>
    </w:p>
    <w:p w14:paraId="37A9CFA2" w14:textId="77777777" w:rsidR="00B30032" w:rsidRPr="00906EDA" w:rsidRDefault="00040A83" w:rsidP="00B37DDF">
      <w:pPr>
        <w:spacing w:line="320" w:lineRule="exact"/>
        <w:ind w:right="1700"/>
        <w:jc w:val="both"/>
        <w:rPr>
          <w:szCs w:val="24"/>
        </w:rPr>
      </w:pPr>
      <w:r w:rsidRPr="00906EDA">
        <w:rPr>
          <w:szCs w:val="24"/>
        </w:rPr>
        <w:t>Die Mitglieder des Vorstands tragen gemeinschaftlich die Verantwortung für die Geschäfte der Gesellschaft. Sie arbeiten kollegial zusammen und unterrichten sich gegenseitig über alle wichtigen Vorgänge in ihrem Geschäftsbereich. Alle wesentlichen Vorgänge und Entscheidungen werden schriftlich festgehalten und nach Kenntnisnahme und Zustimmung durch die anderen Vorstandsmitglieder zu den Unterlagen der Gesellschaft genommen.</w:t>
      </w:r>
    </w:p>
    <w:p w14:paraId="088F3DAA" w14:textId="77777777" w:rsidR="00B30032" w:rsidRPr="00906EDA" w:rsidRDefault="00B30032" w:rsidP="00B37DDF">
      <w:pPr>
        <w:spacing w:line="320" w:lineRule="exact"/>
        <w:ind w:right="1700"/>
        <w:jc w:val="both"/>
        <w:rPr>
          <w:szCs w:val="24"/>
        </w:rPr>
      </w:pPr>
    </w:p>
    <w:p w14:paraId="7A3D64FE" w14:textId="7A59E779" w:rsidR="00B30032" w:rsidRPr="00906EDA" w:rsidRDefault="00040A83" w:rsidP="00B37DDF">
      <w:pPr>
        <w:spacing w:line="320" w:lineRule="exact"/>
        <w:ind w:right="1700"/>
        <w:jc w:val="both"/>
        <w:rPr>
          <w:szCs w:val="24"/>
        </w:rPr>
      </w:pPr>
      <w:r w:rsidRPr="00906EDA">
        <w:rPr>
          <w:szCs w:val="24"/>
        </w:rPr>
        <w:t>Der Vorstand tagt üblicherweise einmal pro Woche. Die Sitzungen werden grundsätzlich vom Sprecher des Vorstands geleitet, die Ergebnisse in einem Protokoll festgehalten.</w:t>
      </w:r>
    </w:p>
    <w:p w14:paraId="205853FE" w14:textId="77777777" w:rsidR="00B30032" w:rsidRPr="00906EDA" w:rsidRDefault="00B30032" w:rsidP="00B37DDF">
      <w:pPr>
        <w:spacing w:line="320" w:lineRule="exact"/>
        <w:ind w:right="1700"/>
        <w:jc w:val="both"/>
        <w:rPr>
          <w:szCs w:val="24"/>
        </w:rPr>
      </w:pPr>
    </w:p>
    <w:p w14:paraId="779B0A84" w14:textId="01C68FE7" w:rsidR="00B30032" w:rsidRPr="00906EDA" w:rsidRDefault="00040A83" w:rsidP="00B37DDF">
      <w:pPr>
        <w:spacing w:line="320" w:lineRule="exact"/>
        <w:ind w:right="1700"/>
        <w:jc w:val="both"/>
        <w:rPr>
          <w:szCs w:val="24"/>
        </w:rPr>
      </w:pPr>
      <w:r w:rsidRPr="00906EDA">
        <w:rPr>
          <w:szCs w:val="24"/>
        </w:rPr>
        <w:t xml:space="preserve">Die allgemeine Geschäftsverteilung unter den Vorstandsmitgliedern ergibt sich aus einem Geschäftsverteilungsplan, </w:t>
      </w:r>
      <w:r w:rsidR="00675099" w:rsidRPr="00906EDA">
        <w:rPr>
          <w:szCs w:val="24"/>
        </w:rPr>
        <w:t>der</w:t>
      </w:r>
      <w:r w:rsidR="00073F1D">
        <w:rPr>
          <w:szCs w:val="24"/>
        </w:rPr>
        <w:t xml:space="preserve"> Anlage zur</w:t>
      </w:r>
      <w:r w:rsidRPr="00906EDA">
        <w:rPr>
          <w:szCs w:val="24"/>
        </w:rPr>
        <w:t xml:space="preserve"> Geschäftsordnung des Vorstands ist. In der Geschäftsordnung ist auch geregelt, in welchen Fällen eine Beschlussfassung durch den Vorstand erforderlich ist und welche Geschäfte und Handlungen der Zustimmung des Aufsichtsrats bedürfen.</w:t>
      </w:r>
    </w:p>
    <w:p w14:paraId="6CD66AE1" w14:textId="77777777" w:rsidR="00144E93" w:rsidRPr="00906EDA" w:rsidRDefault="00144E93" w:rsidP="00B37DDF">
      <w:pPr>
        <w:pStyle w:val="Kopfzeile"/>
        <w:spacing w:line="320" w:lineRule="exact"/>
        <w:ind w:right="1700"/>
        <w:jc w:val="both"/>
        <w:rPr>
          <w:szCs w:val="24"/>
        </w:rPr>
      </w:pPr>
    </w:p>
    <w:p w14:paraId="5A737F40" w14:textId="39100710" w:rsidR="00101702" w:rsidRPr="00906EDA" w:rsidRDefault="00040A83" w:rsidP="00B37DDF">
      <w:pPr>
        <w:pStyle w:val="Kopfzeile"/>
        <w:spacing w:line="320" w:lineRule="exact"/>
        <w:ind w:right="1700"/>
        <w:jc w:val="both"/>
        <w:sectPr w:rsidR="00101702" w:rsidRPr="00906EDA">
          <w:footerReference w:type="default" r:id="rId10"/>
          <w:footerReference w:type="first" r:id="rId11"/>
          <w:pgSz w:w="11907" w:h="16840" w:code="9"/>
          <w:pgMar w:top="1535" w:right="1418" w:bottom="1134" w:left="1134" w:header="851" w:footer="720" w:gutter="0"/>
          <w:cols w:space="720"/>
          <w:titlePg/>
          <w:docGrid w:linePitch="326"/>
        </w:sectPr>
      </w:pPr>
      <w:r w:rsidRPr="00906EDA">
        <w:rPr>
          <w:szCs w:val="24"/>
        </w:rPr>
        <w:t xml:space="preserve">Der Vorstand besteht </w:t>
      </w:r>
      <w:r w:rsidR="003C15E7" w:rsidRPr="00906EDA">
        <w:rPr>
          <w:szCs w:val="24"/>
        </w:rPr>
        <w:t xml:space="preserve">seit dem 1. Januar 2026 </w:t>
      </w:r>
      <w:r w:rsidRPr="00906EDA">
        <w:rPr>
          <w:szCs w:val="24"/>
        </w:rPr>
        <w:t xml:space="preserve">aus </w:t>
      </w:r>
      <w:r w:rsidR="003C15E7" w:rsidRPr="00906EDA">
        <w:rPr>
          <w:szCs w:val="24"/>
        </w:rPr>
        <w:t>zwei</w:t>
      </w:r>
      <w:r w:rsidR="00B23E3D" w:rsidRPr="00906EDA">
        <w:rPr>
          <w:szCs w:val="24"/>
        </w:rPr>
        <w:t xml:space="preserve"> </w:t>
      </w:r>
      <w:r w:rsidRPr="00906EDA">
        <w:rPr>
          <w:szCs w:val="24"/>
        </w:rPr>
        <w:t xml:space="preserve">Personen: </w:t>
      </w:r>
      <w:r w:rsidR="0006055B" w:rsidRPr="00906EDA">
        <w:rPr>
          <w:szCs w:val="24"/>
        </w:rPr>
        <w:t xml:space="preserve">Tom Alzin ist der Sprecher des Vorstands und für Strategie und </w:t>
      </w:r>
      <w:r w:rsidR="003C15E7" w:rsidRPr="00906EDA">
        <w:rPr>
          <w:szCs w:val="24"/>
        </w:rPr>
        <w:t>Corporate</w:t>
      </w:r>
      <w:r w:rsidR="0006055B" w:rsidRPr="00906EDA">
        <w:rPr>
          <w:szCs w:val="24"/>
        </w:rPr>
        <w:t xml:space="preserve"> Development, </w:t>
      </w:r>
      <w:r w:rsidR="003C15E7" w:rsidRPr="00906EDA">
        <w:rPr>
          <w:szCs w:val="24"/>
        </w:rPr>
        <w:t xml:space="preserve">Investor Relations, Finanz- und Rechnungswesen, </w:t>
      </w:r>
      <w:r w:rsidR="00D30E0B" w:rsidRPr="00906EDA">
        <w:rPr>
          <w:szCs w:val="24"/>
        </w:rPr>
        <w:t>die</w:t>
      </w:r>
      <w:r w:rsidR="003C15E7" w:rsidRPr="00906EDA">
        <w:rPr>
          <w:szCs w:val="24"/>
        </w:rPr>
        <w:t xml:space="preserve"> Entwicklung der Büros in Italien und Luxemburg, Risikomanagemen</w:t>
      </w:r>
      <w:r w:rsidR="00651309" w:rsidRPr="00906EDA">
        <w:rPr>
          <w:szCs w:val="24"/>
        </w:rPr>
        <w:t>t</w:t>
      </w:r>
      <w:r w:rsidR="003C15E7" w:rsidRPr="00906EDA">
        <w:rPr>
          <w:szCs w:val="24"/>
        </w:rPr>
        <w:t xml:space="preserve"> und für IT &amp; Organisation </w:t>
      </w:r>
      <w:r w:rsidR="0006055B" w:rsidRPr="00906EDA">
        <w:rPr>
          <w:szCs w:val="24"/>
        </w:rPr>
        <w:t>verantwortlich. Jannick Hunecke verantwortet die Bereiche</w:t>
      </w:r>
      <w:r w:rsidR="003C15E7" w:rsidRPr="00906EDA">
        <w:rPr>
          <w:szCs w:val="24"/>
        </w:rPr>
        <w:t xml:space="preserve"> Investment Controlling, </w:t>
      </w:r>
      <w:r w:rsidR="0006055B" w:rsidRPr="00906EDA">
        <w:rPr>
          <w:szCs w:val="24"/>
        </w:rPr>
        <w:t xml:space="preserve">Personal, </w:t>
      </w:r>
      <w:r w:rsidR="003C15E7" w:rsidRPr="00906EDA">
        <w:rPr>
          <w:szCs w:val="24"/>
        </w:rPr>
        <w:t xml:space="preserve">Recht &amp; Compliance, </w:t>
      </w:r>
      <w:r w:rsidR="0006055B" w:rsidRPr="00906EDA">
        <w:rPr>
          <w:szCs w:val="24"/>
        </w:rPr>
        <w:t>ESG</w:t>
      </w:r>
      <w:r w:rsidR="003C15E7" w:rsidRPr="00906EDA">
        <w:rPr>
          <w:szCs w:val="24"/>
        </w:rPr>
        <w:t xml:space="preserve"> </w:t>
      </w:r>
      <w:r w:rsidR="00651309" w:rsidRPr="00906EDA">
        <w:rPr>
          <w:szCs w:val="24"/>
        </w:rPr>
        <w:t>sowie</w:t>
      </w:r>
      <w:r w:rsidR="003C15E7" w:rsidRPr="00906EDA">
        <w:rPr>
          <w:szCs w:val="24"/>
        </w:rPr>
        <w:t xml:space="preserve"> die Entwicklung von ELF Capital</w:t>
      </w:r>
      <w:r w:rsidR="0006055B" w:rsidRPr="00906EDA">
        <w:rPr>
          <w:szCs w:val="24"/>
        </w:rPr>
        <w:t xml:space="preserve">. </w:t>
      </w:r>
      <w:r w:rsidR="00D17B53">
        <w:rPr>
          <w:szCs w:val="24"/>
        </w:rPr>
        <w:lastRenderedPageBreak/>
        <w:t xml:space="preserve">Sowohl </w:t>
      </w:r>
      <w:r w:rsidR="0006055B" w:rsidRPr="00906EDA">
        <w:rPr>
          <w:szCs w:val="24"/>
        </w:rPr>
        <w:t xml:space="preserve">Tom Alzin </w:t>
      </w:r>
      <w:r w:rsidR="00D17B53">
        <w:rPr>
          <w:szCs w:val="24"/>
        </w:rPr>
        <w:t xml:space="preserve">als auch </w:t>
      </w:r>
      <w:r w:rsidR="0006055B" w:rsidRPr="00906EDA">
        <w:rPr>
          <w:szCs w:val="24"/>
        </w:rPr>
        <w:t xml:space="preserve">Jannick Hunecke sind außerdem für </w:t>
      </w:r>
      <w:r w:rsidR="001943B5" w:rsidRPr="00906EDA">
        <w:rPr>
          <w:szCs w:val="24"/>
        </w:rPr>
        <w:t>das Investmentgeschäft und die Betreuung der Portfoliounternehmen verantwortlich</w:t>
      </w:r>
      <w:r w:rsidR="003C15E7" w:rsidRPr="00906EDA">
        <w:rPr>
          <w:szCs w:val="24"/>
        </w:rPr>
        <w:t>.</w:t>
      </w:r>
    </w:p>
    <w:tbl>
      <w:tblPr>
        <w:tblStyle w:val="Tabellenraster"/>
        <w:tblW w:w="14120" w:type="dxa"/>
        <w:tblLook w:val="04A0" w:firstRow="1" w:lastRow="0" w:firstColumn="1" w:lastColumn="0" w:noHBand="0" w:noVBand="1"/>
      </w:tblPr>
      <w:tblGrid>
        <w:gridCol w:w="1856"/>
        <w:gridCol w:w="1400"/>
        <w:gridCol w:w="1365"/>
        <w:gridCol w:w="1590"/>
        <w:gridCol w:w="1333"/>
        <w:gridCol w:w="3288"/>
        <w:gridCol w:w="3288"/>
      </w:tblGrid>
      <w:tr w:rsidR="00584893" w:rsidRPr="00906EDA" w14:paraId="296BB674" w14:textId="77777777" w:rsidTr="00101702">
        <w:tc>
          <w:tcPr>
            <w:tcW w:w="1856" w:type="dxa"/>
            <w:tcBorders>
              <w:top w:val="single" w:sz="4" w:space="0" w:color="auto"/>
              <w:left w:val="single" w:sz="4" w:space="0" w:color="auto"/>
              <w:bottom w:val="single" w:sz="4" w:space="0" w:color="auto"/>
              <w:right w:val="single" w:sz="4" w:space="0" w:color="auto"/>
            </w:tcBorders>
            <w:hideMark/>
          </w:tcPr>
          <w:p w14:paraId="6647561E" w14:textId="77777777" w:rsidR="00101702" w:rsidRPr="00906EDA" w:rsidRDefault="00040A83" w:rsidP="00B37DDF">
            <w:pPr>
              <w:spacing w:line="320" w:lineRule="exact"/>
              <w:rPr>
                <w:b/>
                <w:bCs/>
                <w:sz w:val="20"/>
              </w:rPr>
            </w:pPr>
            <w:bookmarkStart w:id="3" w:name="_Hlk111369759"/>
            <w:bookmarkStart w:id="4" w:name="_Hlk48223913"/>
            <w:r w:rsidRPr="00906EDA">
              <w:rPr>
                <w:b/>
                <w:bCs/>
                <w:sz w:val="20"/>
              </w:rPr>
              <w:lastRenderedPageBreak/>
              <w:t>Name</w:t>
            </w:r>
          </w:p>
        </w:tc>
        <w:tc>
          <w:tcPr>
            <w:tcW w:w="1400" w:type="dxa"/>
            <w:tcBorders>
              <w:top w:val="single" w:sz="4" w:space="0" w:color="auto"/>
              <w:left w:val="single" w:sz="4" w:space="0" w:color="auto"/>
              <w:bottom w:val="single" w:sz="4" w:space="0" w:color="auto"/>
              <w:right w:val="single" w:sz="4" w:space="0" w:color="auto"/>
            </w:tcBorders>
            <w:hideMark/>
          </w:tcPr>
          <w:p w14:paraId="59BFA007" w14:textId="0D45CE1D" w:rsidR="00101702" w:rsidRPr="00906EDA" w:rsidRDefault="00040A83" w:rsidP="00B37DDF">
            <w:pPr>
              <w:spacing w:line="320" w:lineRule="exact"/>
              <w:rPr>
                <w:b/>
                <w:bCs/>
                <w:sz w:val="20"/>
              </w:rPr>
            </w:pPr>
            <w:r w:rsidRPr="00906EDA">
              <w:rPr>
                <w:b/>
                <w:bCs/>
                <w:sz w:val="20"/>
              </w:rPr>
              <w:t>Geburtsjahr</w:t>
            </w:r>
          </w:p>
        </w:tc>
        <w:tc>
          <w:tcPr>
            <w:tcW w:w="1365" w:type="dxa"/>
            <w:tcBorders>
              <w:top w:val="single" w:sz="4" w:space="0" w:color="auto"/>
              <w:left w:val="single" w:sz="4" w:space="0" w:color="auto"/>
              <w:bottom w:val="single" w:sz="4" w:space="0" w:color="auto"/>
              <w:right w:val="single" w:sz="4" w:space="0" w:color="auto"/>
            </w:tcBorders>
            <w:hideMark/>
          </w:tcPr>
          <w:p w14:paraId="276B124C" w14:textId="77777777" w:rsidR="00101702" w:rsidRPr="00906EDA" w:rsidRDefault="00040A83" w:rsidP="00B37DDF">
            <w:pPr>
              <w:spacing w:line="320" w:lineRule="exact"/>
              <w:rPr>
                <w:b/>
                <w:bCs/>
                <w:sz w:val="20"/>
              </w:rPr>
            </w:pPr>
            <w:r w:rsidRPr="00906EDA">
              <w:rPr>
                <w:b/>
                <w:bCs/>
                <w:sz w:val="20"/>
              </w:rPr>
              <w:t>Nationalität</w:t>
            </w:r>
          </w:p>
        </w:tc>
        <w:tc>
          <w:tcPr>
            <w:tcW w:w="1590" w:type="dxa"/>
            <w:tcBorders>
              <w:top w:val="single" w:sz="4" w:space="0" w:color="auto"/>
              <w:left w:val="single" w:sz="4" w:space="0" w:color="auto"/>
              <w:bottom w:val="single" w:sz="4" w:space="0" w:color="auto"/>
              <w:right w:val="single" w:sz="4" w:space="0" w:color="auto"/>
            </w:tcBorders>
            <w:hideMark/>
          </w:tcPr>
          <w:p w14:paraId="51A9BAB6" w14:textId="77777777" w:rsidR="00101702" w:rsidRPr="00906EDA" w:rsidRDefault="00040A83" w:rsidP="00B37DDF">
            <w:pPr>
              <w:spacing w:line="320" w:lineRule="exact"/>
              <w:rPr>
                <w:b/>
                <w:bCs/>
                <w:sz w:val="20"/>
              </w:rPr>
            </w:pPr>
            <w:r w:rsidRPr="00906EDA">
              <w:rPr>
                <w:b/>
                <w:bCs/>
                <w:sz w:val="20"/>
              </w:rPr>
              <w:t xml:space="preserve">Erstbestellung </w:t>
            </w:r>
          </w:p>
        </w:tc>
        <w:tc>
          <w:tcPr>
            <w:tcW w:w="1333" w:type="dxa"/>
            <w:tcBorders>
              <w:top w:val="single" w:sz="4" w:space="0" w:color="auto"/>
              <w:left w:val="single" w:sz="4" w:space="0" w:color="auto"/>
              <w:bottom w:val="single" w:sz="4" w:space="0" w:color="auto"/>
              <w:right w:val="single" w:sz="4" w:space="0" w:color="auto"/>
            </w:tcBorders>
            <w:hideMark/>
          </w:tcPr>
          <w:p w14:paraId="776CAE6E" w14:textId="77777777" w:rsidR="00101702" w:rsidRPr="00906EDA" w:rsidRDefault="00040A83" w:rsidP="00B37DDF">
            <w:pPr>
              <w:spacing w:line="320" w:lineRule="exact"/>
              <w:rPr>
                <w:b/>
                <w:bCs/>
                <w:sz w:val="20"/>
              </w:rPr>
            </w:pPr>
            <w:r w:rsidRPr="00906EDA">
              <w:rPr>
                <w:b/>
                <w:bCs/>
                <w:sz w:val="20"/>
              </w:rPr>
              <w:t>Bestellt bis</w:t>
            </w:r>
          </w:p>
        </w:tc>
        <w:tc>
          <w:tcPr>
            <w:tcW w:w="6576" w:type="dxa"/>
            <w:gridSpan w:val="2"/>
            <w:tcBorders>
              <w:top w:val="single" w:sz="4" w:space="0" w:color="auto"/>
              <w:left w:val="single" w:sz="4" w:space="0" w:color="auto"/>
              <w:bottom w:val="single" w:sz="4" w:space="0" w:color="auto"/>
              <w:right w:val="single" w:sz="4" w:space="0" w:color="auto"/>
            </w:tcBorders>
            <w:hideMark/>
          </w:tcPr>
          <w:p w14:paraId="1F6CBBC2" w14:textId="385C98D6" w:rsidR="004B671B" w:rsidRPr="00906EDA" w:rsidRDefault="00040A83" w:rsidP="004B671B">
            <w:pPr>
              <w:spacing w:line="320" w:lineRule="exact"/>
              <w:rPr>
                <w:b/>
                <w:bCs/>
                <w:sz w:val="20"/>
              </w:rPr>
            </w:pPr>
            <w:r w:rsidRPr="00906EDA">
              <w:rPr>
                <w:b/>
                <w:bCs/>
                <w:sz w:val="20"/>
              </w:rPr>
              <w:t>Mitgliedschaft in gesetzlich zu bildenden Aufsichtsräten sowie in vergleichbaren in- oder ausländischen Kontrollgremien von Wirtschaftsunternehmen</w:t>
            </w:r>
            <w:r w:rsidR="004B671B" w:rsidRPr="00906EDA">
              <w:rPr>
                <w:b/>
                <w:bCs/>
                <w:sz w:val="20"/>
              </w:rPr>
              <w:t xml:space="preserve"> (Stand: </w:t>
            </w:r>
            <w:r w:rsidR="00F50DAB" w:rsidRPr="00906EDA">
              <w:rPr>
                <w:b/>
                <w:bCs/>
                <w:sz w:val="20"/>
              </w:rPr>
              <w:t>Februar 20</w:t>
            </w:r>
            <w:r w:rsidR="00D7007E" w:rsidRPr="00906EDA">
              <w:rPr>
                <w:b/>
                <w:bCs/>
                <w:sz w:val="20"/>
              </w:rPr>
              <w:t>26</w:t>
            </w:r>
            <w:r w:rsidR="004B671B" w:rsidRPr="00906EDA">
              <w:rPr>
                <w:b/>
                <w:bCs/>
                <w:sz w:val="20"/>
              </w:rPr>
              <w:t>)</w:t>
            </w:r>
          </w:p>
        </w:tc>
      </w:tr>
      <w:tr w:rsidR="00584893" w:rsidRPr="00906EDA" w14:paraId="378B65D6" w14:textId="77777777" w:rsidTr="00101702">
        <w:tc>
          <w:tcPr>
            <w:tcW w:w="1856" w:type="dxa"/>
            <w:tcBorders>
              <w:top w:val="single" w:sz="4" w:space="0" w:color="auto"/>
              <w:left w:val="single" w:sz="4" w:space="0" w:color="auto"/>
              <w:bottom w:val="single" w:sz="4" w:space="0" w:color="auto"/>
              <w:right w:val="single" w:sz="4" w:space="0" w:color="auto"/>
            </w:tcBorders>
          </w:tcPr>
          <w:p w14:paraId="244343BA" w14:textId="77777777" w:rsidR="00101702" w:rsidRPr="00906EDA" w:rsidRDefault="00101702" w:rsidP="00B37DDF">
            <w:pPr>
              <w:spacing w:line="320" w:lineRule="exact"/>
              <w:rPr>
                <w:sz w:val="20"/>
              </w:rPr>
            </w:pPr>
          </w:p>
        </w:tc>
        <w:tc>
          <w:tcPr>
            <w:tcW w:w="1400" w:type="dxa"/>
            <w:tcBorders>
              <w:top w:val="single" w:sz="4" w:space="0" w:color="auto"/>
              <w:left w:val="single" w:sz="4" w:space="0" w:color="auto"/>
              <w:bottom w:val="single" w:sz="4" w:space="0" w:color="auto"/>
              <w:right w:val="single" w:sz="4" w:space="0" w:color="auto"/>
            </w:tcBorders>
          </w:tcPr>
          <w:p w14:paraId="438A0A44" w14:textId="77777777" w:rsidR="00101702" w:rsidRPr="00906EDA" w:rsidRDefault="00101702" w:rsidP="00B37DDF">
            <w:pPr>
              <w:spacing w:line="320" w:lineRule="exact"/>
              <w:rPr>
                <w:sz w:val="20"/>
              </w:rPr>
            </w:pPr>
          </w:p>
        </w:tc>
        <w:tc>
          <w:tcPr>
            <w:tcW w:w="1365" w:type="dxa"/>
            <w:tcBorders>
              <w:top w:val="single" w:sz="4" w:space="0" w:color="auto"/>
              <w:left w:val="single" w:sz="4" w:space="0" w:color="auto"/>
              <w:bottom w:val="single" w:sz="4" w:space="0" w:color="auto"/>
              <w:right w:val="single" w:sz="4" w:space="0" w:color="auto"/>
            </w:tcBorders>
          </w:tcPr>
          <w:p w14:paraId="21B8A86C" w14:textId="77777777" w:rsidR="00101702" w:rsidRPr="00906EDA" w:rsidRDefault="00101702" w:rsidP="00B37DDF">
            <w:pPr>
              <w:spacing w:line="320" w:lineRule="exact"/>
              <w:rPr>
                <w:sz w:val="20"/>
              </w:rPr>
            </w:pPr>
          </w:p>
        </w:tc>
        <w:tc>
          <w:tcPr>
            <w:tcW w:w="1590" w:type="dxa"/>
            <w:tcBorders>
              <w:top w:val="single" w:sz="4" w:space="0" w:color="auto"/>
              <w:left w:val="single" w:sz="4" w:space="0" w:color="auto"/>
              <w:bottom w:val="single" w:sz="4" w:space="0" w:color="auto"/>
              <w:right w:val="single" w:sz="4" w:space="0" w:color="auto"/>
            </w:tcBorders>
          </w:tcPr>
          <w:p w14:paraId="44220948" w14:textId="77777777" w:rsidR="00101702" w:rsidRPr="00906EDA" w:rsidRDefault="00101702" w:rsidP="00B37DDF">
            <w:pPr>
              <w:spacing w:line="320" w:lineRule="exact"/>
              <w:rPr>
                <w:sz w:val="20"/>
              </w:rPr>
            </w:pPr>
          </w:p>
        </w:tc>
        <w:tc>
          <w:tcPr>
            <w:tcW w:w="1333" w:type="dxa"/>
            <w:tcBorders>
              <w:top w:val="single" w:sz="4" w:space="0" w:color="auto"/>
              <w:left w:val="single" w:sz="4" w:space="0" w:color="auto"/>
              <w:bottom w:val="single" w:sz="4" w:space="0" w:color="auto"/>
              <w:right w:val="single" w:sz="4" w:space="0" w:color="auto"/>
            </w:tcBorders>
          </w:tcPr>
          <w:p w14:paraId="68CAE506" w14:textId="77777777" w:rsidR="00101702" w:rsidRPr="00906EDA" w:rsidRDefault="00101702" w:rsidP="00B37DDF">
            <w:pPr>
              <w:spacing w:line="320" w:lineRule="exact"/>
              <w:rPr>
                <w:sz w:val="20"/>
              </w:rPr>
            </w:pPr>
          </w:p>
        </w:tc>
        <w:tc>
          <w:tcPr>
            <w:tcW w:w="3288" w:type="dxa"/>
            <w:tcBorders>
              <w:top w:val="single" w:sz="4" w:space="0" w:color="auto"/>
              <w:left w:val="single" w:sz="4" w:space="0" w:color="auto"/>
              <w:bottom w:val="single" w:sz="4" w:space="0" w:color="auto"/>
              <w:right w:val="single" w:sz="4" w:space="0" w:color="auto"/>
            </w:tcBorders>
            <w:hideMark/>
          </w:tcPr>
          <w:p w14:paraId="4AC0F72A" w14:textId="6F5E5867" w:rsidR="00101702" w:rsidRPr="00906EDA" w:rsidRDefault="00040A83" w:rsidP="005309EE">
            <w:pPr>
              <w:spacing w:line="320" w:lineRule="exact"/>
              <w:jc w:val="both"/>
              <w:rPr>
                <w:sz w:val="20"/>
              </w:rPr>
            </w:pPr>
            <w:r w:rsidRPr="00906EDA">
              <w:rPr>
                <w:i/>
                <w:iCs/>
                <w:sz w:val="20"/>
              </w:rPr>
              <w:t>Mitgliedschaft in gesetzlich zu bildenden Aufsichtsräten</w:t>
            </w:r>
          </w:p>
        </w:tc>
        <w:tc>
          <w:tcPr>
            <w:tcW w:w="3288" w:type="dxa"/>
            <w:tcBorders>
              <w:top w:val="single" w:sz="4" w:space="0" w:color="auto"/>
              <w:left w:val="single" w:sz="4" w:space="0" w:color="auto"/>
              <w:bottom w:val="single" w:sz="4" w:space="0" w:color="auto"/>
              <w:right w:val="single" w:sz="4" w:space="0" w:color="auto"/>
            </w:tcBorders>
            <w:hideMark/>
          </w:tcPr>
          <w:p w14:paraId="67D6D3E2" w14:textId="187E0B79" w:rsidR="00101702" w:rsidRPr="00906EDA" w:rsidRDefault="00040A83" w:rsidP="005309EE">
            <w:pPr>
              <w:spacing w:line="320" w:lineRule="exact"/>
              <w:jc w:val="both"/>
              <w:rPr>
                <w:sz w:val="20"/>
              </w:rPr>
            </w:pPr>
            <w:r w:rsidRPr="00906EDA">
              <w:rPr>
                <w:i/>
                <w:iCs/>
                <w:sz w:val="20"/>
              </w:rPr>
              <w:t>Mitgliedschaft in vergleichbaren in- oder ausländischen Kontrollgremien von Wirtschaftsunternehmen</w:t>
            </w:r>
          </w:p>
        </w:tc>
      </w:tr>
      <w:tr w:rsidR="00584893" w:rsidRPr="00906EDA" w14:paraId="2F5EAA60" w14:textId="77777777" w:rsidTr="00101702">
        <w:tc>
          <w:tcPr>
            <w:tcW w:w="1856" w:type="dxa"/>
            <w:tcBorders>
              <w:top w:val="single" w:sz="4" w:space="0" w:color="auto"/>
              <w:left w:val="single" w:sz="4" w:space="0" w:color="auto"/>
              <w:bottom w:val="single" w:sz="4" w:space="0" w:color="auto"/>
              <w:right w:val="nil"/>
            </w:tcBorders>
          </w:tcPr>
          <w:p w14:paraId="79CE8952" w14:textId="77777777" w:rsidR="00101702" w:rsidRPr="00906EDA" w:rsidRDefault="00101702" w:rsidP="00B37DDF">
            <w:pPr>
              <w:spacing w:line="320" w:lineRule="exact"/>
              <w:rPr>
                <w:sz w:val="20"/>
              </w:rPr>
            </w:pPr>
          </w:p>
        </w:tc>
        <w:tc>
          <w:tcPr>
            <w:tcW w:w="1400" w:type="dxa"/>
            <w:tcBorders>
              <w:top w:val="single" w:sz="4" w:space="0" w:color="auto"/>
              <w:left w:val="nil"/>
              <w:bottom w:val="single" w:sz="4" w:space="0" w:color="auto"/>
              <w:right w:val="nil"/>
            </w:tcBorders>
          </w:tcPr>
          <w:p w14:paraId="0377130B" w14:textId="77777777" w:rsidR="00101702" w:rsidRPr="00906EDA" w:rsidRDefault="00101702" w:rsidP="00B37DDF">
            <w:pPr>
              <w:spacing w:line="320" w:lineRule="exact"/>
              <w:rPr>
                <w:sz w:val="20"/>
              </w:rPr>
            </w:pPr>
          </w:p>
        </w:tc>
        <w:tc>
          <w:tcPr>
            <w:tcW w:w="1365" w:type="dxa"/>
            <w:tcBorders>
              <w:top w:val="single" w:sz="4" w:space="0" w:color="auto"/>
              <w:left w:val="nil"/>
              <w:bottom w:val="single" w:sz="4" w:space="0" w:color="auto"/>
              <w:right w:val="nil"/>
            </w:tcBorders>
          </w:tcPr>
          <w:p w14:paraId="0A22310A" w14:textId="77777777" w:rsidR="00101702" w:rsidRPr="00906EDA" w:rsidRDefault="00101702" w:rsidP="00B37DDF">
            <w:pPr>
              <w:spacing w:line="320" w:lineRule="exact"/>
              <w:rPr>
                <w:sz w:val="20"/>
              </w:rPr>
            </w:pPr>
          </w:p>
        </w:tc>
        <w:tc>
          <w:tcPr>
            <w:tcW w:w="1590" w:type="dxa"/>
            <w:tcBorders>
              <w:top w:val="single" w:sz="4" w:space="0" w:color="auto"/>
              <w:left w:val="nil"/>
              <w:bottom w:val="single" w:sz="4" w:space="0" w:color="auto"/>
              <w:right w:val="nil"/>
            </w:tcBorders>
          </w:tcPr>
          <w:p w14:paraId="5CC00E45" w14:textId="77777777" w:rsidR="00101702" w:rsidRPr="00906EDA" w:rsidRDefault="00101702" w:rsidP="00B37DDF">
            <w:pPr>
              <w:spacing w:line="320" w:lineRule="exact"/>
              <w:rPr>
                <w:sz w:val="20"/>
              </w:rPr>
            </w:pPr>
          </w:p>
        </w:tc>
        <w:tc>
          <w:tcPr>
            <w:tcW w:w="1333" w:type="dxa"/>
            <w:tcBorders>
              <w:top w:val="single" w:sz="4" w:space="0" w:color="auto"/>
              <w:left w:val="nil"/>
              <w:bottom w:val="single" w:sz="4" w:space="0" w:color="auto"/>
              <w:right w:val="nil"/>
            </w:tcBorders>
          </w:tcPr>
          <w:p w14:paraId="4EF04B67" w14:textId="77777777" w:rsidR="00101702" w:rsidRPr="00906EDA" w:rsidRDefault="00101702" w:rsidP="00B37DDF">
            <w:pPr>
              <w:spacing w:line="320" w:lineRule="exact"/>
              <w:rPr>
                <w:sz w:val="20"/>
              </w:rPr>
            </w:pPr>
          </w:p>
        </w:tc>
        <w:tc>
          <w:tcPr>
            <w:tcW w:w="3288" w:type="dxa"/>
            <w:tcBorders>
              <w:top w:val="single" w:sz="4" w:space="0" w:color="auto"/>
              <w:left w:val="nil"/>
              <w:bottom w:val="single" w:sz="4" w:space="0" w:color="auto"/>
              <w:right w:val="nil"/>
            </w:tcBorders>
          </w:tcPr>
          <w:p w14:paraId="73897C31" w14:textId="77777777" w:rsidR="00101702" w:rsidRPr="00906EDA" w:rsidRDefault="00101702" w:rsidP="00B37DDF">
            <w:pPr>
              <w:spacing w:line="320" w:lineRule="exact"/>
              <w:rPr>
                <w:sz w:val="20"/>
              </w:rPr>
            </w:pPr>
          </w:p>
        </w:tc>
        <w:tc>
          <w:tcPr>
            <w:tcW w:w="3288" w:type="dxa"/>
            <w:tcBorders>
              <w:top w:val="single" w:sz="4" w:space="0" w:color="auto"/>
              <w:left w:val="nil"/>
              <w:bottom w:val="single" w:sz="4" w:space="0" w:color="auto"/>
              <w:right w:val="single" w:sz="4" w:space="0" w:color="auto"/>
            </w:tcBorders>
          </w:tcPr>
          <w:p w14:paraId="7C6E5277" w14:textId="77777777" w:rsidR="00101702" w:rsidRPr="00906EDA" w:rsidRDefault="00101702" w:rsidP="00B37DDF">
            <w:pPr>
              <w:spacing w:line="320" w:lineRule="exact"/>
              <w:rPr>
                <w:sz w:val="20"/>
              </w:rPr>
            </w:pPr>
          </w:p>
        </w:tc>
      </w:tr>
      <w:tr w:rsidR="00584893" w:rsidRPr="009715FB" w14:paraId="3A707D5E" w14:textId="77777777" w:rsidTr="007458B8">
        <w:tc>
          <w:tcPr>
            <w:tcW w:w="1856" w:type="dxa"/>
            <w:tcBorders>
              <w:top w:val="single" w:sz="4" w:space="0" w:color="auto"/>
              <w:left w:val="single" w:sz="4" w:space="0" w:color="auto"/>
              <w:bottom w:val="single" w:sz="4" w:space="0" w:color="auto"/>
              <w:right w:val="single" w:sz="4" w:space="0" w:color="auto"/>
            </w:tcBorders>
          </w:tcPr>
          <w:p w14:paraId="50DB64C0" w14:textId="77777777" w:rsidR="00101702" w:rsidRPr="00906EDA" w:rsidRDefault="00040A83" w:rsidP="00B37DDF">
            <w:pPr>
              <w:spacing w:line="320" w:lineRule="exact"/>
              <w:rPr>
                <w:sz w:val="20"/>
              </w:rPr>
            </w:pPr>
            <w:bookmarkStart w:id="5" w:name="_Hlk111369740"/>
            <w:r w:rsidRPr="00906EDA">
              <w:rPr>
                <w:sz w:val="20"/>
              </w:rPr>
              <w:t>Tom Alzin</w:t>
            </w:r>
          </w:p>
          <w:p w14:paraId="1BE1BCBF" w14:textId="0BB50966" w:rsidR="0006055B" w:rsidRPr="00906EDA" w:rsidRDefault="0006055B" w:rsidP="00B37DDF">
            <w:pPr>
              <w:spacing w:line="320" w:lineRule="exact"/>
              <w:rPr>
                <w:sz w:val="20"/>
              </w:rPr>
            </w:pPr>
            <w:r w:rsidRPr="00906EDA">
              <w:rPr>
                <w:sz w:val="20"/>
              </w:rPr>
              <w:t>(Sprecher des Vorstands)</w:t>
            </w:r>
          </w:p>
        </w:tc>
        <w:tc>
          <w:tcPr>
            <w:tcW w:w="1400" w:type="dxa"/>
            <w:tcBorders>
              <w:top w:val="single" w:sz="4" w:space="0" w:color="auto"/>
              <w:left w:val="single" w:sz="4" w:space="0" w:color="auto"/>
              <w:bottom w:val="single" w:sz="4" w:space="0" w:color="auto"/>
              <w:right w:val="single" w:sz="4" w:space="0" w:color="auto"/>
            </w:tcBorders>
          </w:tcPr>
          <w:p w14:paraId="3E12B557" w14:textId="6D45721D" w:rsidR="00101702" w:rsidRPr="00906EDA" w:rsidRDefault="00040A83" w:rsidP="00B37DDF">
            <w:pPr>
              <w:spacing w:line="320" w:lineRule="exact"/>
              <w:rPr>
                <w:sz w:val="20"/>
              </w:rPr>
            </w:pPr>
            <w:r w:rsidRPr="00906EDA">
              <w:rPr>
                <w:sz w:val="20"/>
              </w:rPr>
              <w:t>1980</w:t>
            </w:r>
          </w:p>
        </w:tc>
        <w:tc>
          <w:tcPr>
            <w:tcW w:w="1365" w:type="dxa"/>
            <w:tcBorders>
              <w:top w:val="single" w:sz="4" w:space="0" w:color="auto"/>
              <w:left w:val="single" w:sz="4" w:space="0" w:color="auto"/>
              <w:bottom w:val="single" w:sz="4" w:space="0" w:color="auto"/>
              <w:right w:val="single" w:sz="4" w:space="0" w:color="auto"/>
            </w:tcBorders>
          </w:tcPr>
          <w:p w14:paraId="6EC3AF28" w14:textId="2D8E31D5" w:rsidR="00101702" w:rsidRPr="00906EDA" w:rsidRDefault="00040A83" w:rsidP="00B37DDF">
            <w:pPr>
              <w:spacing w:line="320" w:lineRule="exact"/>
              <w:rPr>
                <w:sz w:val="20"/>
              </w:rPr>
            </w:pPr>
            <w:r w:rsidRPr="00906EDA">
              <w:rPr>
                <w:sz w:val="20"/>
              </w:rPr>
              <w:t>L</w:t>
            </w:r>
            <w:r w:rsidR="00DE0543" w:rsidRPr="00906EDA">
              <w:rPr>
                <w:sz w:val="20"/>
              </w:rPr>
              <w:t>uxemburgisch</w:t>
            </w:r>
          </w:p>
        </w:tc>
        <w:tc>
          <w:tcPr>
            <w:tcW w:w="1590" w:type="dxa"/>
            <w:tcBorders>
              <w:top w:val="single" w:sz="4" w:space="0" w:color="auto"/>
              <w:left w:val="single" w:sz="4" w:space="0" w:color="auto"/>
              <w:bottom w:val="single" w:sz="4" w:space="0" w:color="auto"/>
              <w:right w:val="single" w:sz="4" w:space="0" w:color="auto"/>
            </w:tcBorders>
          </w:tcPr>
          <w:p w14:paraId="64238897" w14:textId="2EC5EAA7" w:rsidR="00101702" w:rsidRPr="00906EDA" w:rsidRDefault="00040A83" w:rsidP="00B37DDF">
            <w:pPr>
              <w:spacing w:line="320" w:lineRule="exact"/>
              <w:rPr>
                <w:sz w:val="20"/>
              </w:rPr>
            </w:pPr>
            <w:r w:rsidRPr="00906EDA">
              <w:rPr>
                <w:sz w:val="20"/>
              </w:rPr>
              <w:t>März 2021</w:t>
            </w:r>
          </w:p>
        </w:tc>
        <w:tc>
          <w:tcPr>
            <w:tcW w:w="1333" w:type="dxa"/>
            <w:tcBorders>
              <w:top w:val="single" w:sz="4" w:space="0" w:color="auto"/>
              <w:left w:val="single" w:sz="4" w:space="0" w:color="auto"/>
              <w:bottom w:val="single" w:sz="4" w:space="0" w:color="auto"/>
              <w:right w:val="single" w:sz="4" w:space="0" w:color="auto"/>
            </w:tcBorders>
          </w:tcPr>
          <w:p w14:paraId="423BFAD2" w14:textId="18AAA8F8" w:rsidR="00101702" w:rsidRPr="00906EDA" w:rsidRDefault="00040A83" w:rsidP="00B37DDF">
            <w:pPr>
              <w:spacing w:line="320" w:lineRule="exact"/>
              <w:rPr>
                <w:sz w:val="20"/>
              </w:rPr>
            </w:pPr>
            <w:r w:rsidRPr="00906EDA">
              <w:rPr>
                <w:sz w:val="20"/>
              </w:rPr>
              <w:t>Februar 20</w:t>
            </w:r>
            <w:r w:rsidR="00D7007E" w:rsidRPr="00906EDA">
              <w:rPr>
                <w:sz w:val="20"/>
              </w:rPr>
              <w:t>31</w:t>
            </w:r>
          </w:p>
        </w:tc>
        <w:tc>
          <w:tcPr>
            <w:tcW w:w="3288" w:type="dxa"/>
            <w:tcBorders>
              <w:top w:val="single" w:sz="4" w:space="0" w:color="auto"/>
              <w:left w:val="single" w:sz="4" w:space="0" w:color="auto"/>
              <w:bottom w:val="single" w:sz="4" w:space="0" w:color="auto"/>
              <w:right w:val="single" w:sz="4" w:space="0" w:color="auto"/>
            </w:tcBorders>
          </w:tcPr>
          <w:p w14:paraId="00FCE4D7" w14:textId="5548F42D" w:rsidR="00101702" w:rsidRPr="00906EDA" w:rsidRDefault="00040A83" w:rsidP="00DE0543">
            <w:pPr>
              <w:spacing w:line="320" w:lineRule="exact"/>
              <w:rPr>
                <w:sz w:val="20"/>
              </w:rPr>
            </w:pPr>
            <w:r w:rsidRPr="00906EDA">
              <w:rPr>
                <w:sz w:val="20"/>
              </w:rPr>
              <w:t>keine</w:t>
            </w:r>
          </w:p>
        </w:tc>
        <w:tc>
          <w:tcPr>
            <w:tcW w:w="3288" w:type="dxa"/>
            <w:tcBorders>
              <w:top w:val="single" w:sz="4" w:space="0" w:color="auto"/>
              <w:left w:val="single" w:sz="4" w:space="0" w:color="auto"/>
              <w:bottom w:val="single" w:sz="4" w:space="0" w:color="auto"/>
              <w:right w:val="single" w:sz="4" w:space="0" w:color="auto"/>
            </w:tcBorders>
          </w:tcPr>
          <w:p w14:paraId="2FC93879" w14:textId="77777777" w:rsidR="004B671B" w:rsidRPr="00906EDA" w:rsidRDefault="004B671B" w:rsidP="004B671B">
            <w:pPr>
              <w:spacing w:line="320" w:lineRule="exact"/>
              <w:rPr>
                <w:sz w:val="20"/>
                <w:lang w:val="it-IT"/>
              </w:rPr>
            </w:pPr>
            <w:r w:rsidRPr="00906EDA">
              <w:rPr>
                <w:sz w:val="20"/>
                <w:lang w:val="it-IT"/>
              </w:rPr>
              <w:t xml:space="preserve">Verde Midco S.r.l., Mailand, </w:t>
            </w:r>
            <w:proofErr w:type="spellStart"/>
            <w:r w:rsidRPr="00906EDA">
              <w:rPr>
                <w:sz w:val="20"/>
                <w:lang w:val="it-IT"/>
              </w:rPr>
              <w:t>Italien</w:t>
            </w:r>
            <w:proofErr w:type="spellEnd"/>
          </w:p>
          <w:p w14:paraId="00E3B3AC" w14:textId="4333A838" w:rsidR="00253DFD" w:rsidRPr="00906EDA" w:rsidRDefault="00253DFD" w:rsidP="00DE0543">
            <w:pPr>
              <w:spacing w:line="320" w:lineRule="exact"/>
              <w:rPr>
                <w:sz w:val="20"/>
                <w:lang w:val="it-IT"/>
              </w:rPr>
            </w:pPr>
          </w:p>
        </w:tc>
      </w:tr>
      <w:tr w:rsidR="0006055B" w:rsidRPr="009715FB" w14:paraId="14B4D7E3" w14:textId="77777777" w:rsidTr="007458B8">
        <w:tc>
          <w:tcPr>
            <w:tcW w:w="1856" w:type="dxa"/>
            <w:tcBorders>
              <w:top w:val="single" w:sz="4" w:space="0" w:color="auto"/>
              <w:left w:val="single" w:sz="4" w:space="0" w:color="auto"/>
              <w:bottom w:val="single" w:sz="4" w:space="0" w:color="auto"/>
              <w:right w:val="single" w:sz="4" w:space="0" w:color="auto"/>
            </w:tcBorders>
          </w:tcPr>
          <w:p w14:paraId="65FBAD57" w14:textId="543559DB" w:rsidR="0006055B" w:rsidRPr="00906EDA" w:rsidRDefault="0006055B" w:rsidP="0006055B">
            <w:pPr>
              <w:spacing w:line="320" w:lineRule="exact"/>
              <w:rPr>
                <w:sz w:val="20"/>
              </w:rPr>
            </w:pPr>
            <w:r w:rsidRPr="00906EDA">
              <w:rPr>
                <w:sz w:val="20"/>
              </w:rPr>
              <w:t>Jannick Hunecke</w:t>
            </w:r>
          </w:p>
        </w:tc>
        <w:tc>
          <w:tcPr>
            <w:tcW w:w="1400" w:type="dxa"/>
            <w:tcBorders>
              <w:top w:val="single" w:sz="4" w:space="0" w:color="auto"/>
              <w:left w:val="single" w:sz="4" w:space="0" w:color="auto"/>
              <w:bottom w:val="single" w:sz="4" w:space="0" w:color="auto"/>
              <w:right w:val="single" w:sz="4" w:space="0" w:color="auto"/>
            </w:tcBorders>
          </w:tcPr>
          <w:p w14:paraId="0335C930" w14:textId="4B24E346" w:rsidR="0006055B" w:rsidRPr="00906EDA" w:rsidRDefault="0006055B" w:rsidP="0006055B">
            <w:pPr>
              <w:spacing w:line="320" w:lineRule="exact"/>
              <w:rPr>
                <w:sz w:val="20"/>
              </w:rPr>
            </w:pPr>
            <w:r w:rsidRPr="00906EDA">
              <w:rPr>
                <w:sz w:val="20"/>
              </w:rPr>
              <w:t>1974</w:t>
            </w:r>
          </w:p>
        </w:tc>
        <w:tc>
          <w:tcPr>
            <w:tcW w:w="1365" w:type="dxa"/>
            <w:tcBorders>
              <w:top w:val="single" w:sz="4" w:space="0" w:color="auto"/>
              <w:left w:val="single" w:sz="4" w:space="0" w:color="auto"/>
              <w:bottom w:val="single" w:sz="4" w:space="0" w:color="auto"/>
              <w:right w:val="single" w:sz="4" w:space="0" w:color="auto"/>
            </w:tcBorders>
          </w:tcPr>
          <w:p w14:paraId="4173DD1A" w14:textId="6C8DC9D8" w:rsidR="0006055B" w:rsidRPr="00906EDA" w:rsidRDefault="0006055B" w:rsidP="0006055B">
            <w:pPr>
              <w:spacing w:line="320" w:lineRule="exact"/>
              <w:rPr>
                <w:sz w:val="20"/>
              </w:rPr>
            </w:pPr>
            <w:r w:rsidRPr="00906EDA">
              <w:rPr>
                <w:sz w:val="20"/>
              </w:rPr>
              <w:t>Deutsch</w:t>
            </w:r>
          </w:p>
        </w:tc>
        <w:tc>
          <w:tcPr>
            <w:tcW w:w="1590" w:type="dxa"/>
            <w:tcBorders>
              <w:top w:val="single" w:sz="4" w:space="0" w:color="auto"/>
              <w:left w:val="single" w:sz="4" w:space="0" w:color="auto"/>
              <w:bottom w:val="single" w:sz="4" w:space="0" w:color="auto"/>
              <w:right w:val="single" w:sz="4" w:space="0" w:color="auto"/>
            </w:tcBorders>
          </w:tcPr>
          <w:p w14:paraId="14F5FDCD" w14:textId="3C311A13" w:rsidR="0006055B" w:rsidRPr="00906EDA" w:rsidRDefault="0006055B" w:rsidP="0006055B">
            <w:pPr>
              <w:spacing w:line="320" w:lineRule="exact"/>
              <w:rPr>
                <w:sz w:val="20"/>
              </w:rPr>
            </w:pPr>
            <w:r w:rsidRPr="00906EDA">
              <w:rPr>
                <w:sz w:val="20"/>
              </w:rPr>
              <w:t>März 2021</w:t>
            </w:r>
          </w:p>
        </w:tc>
        <w:tc>
          <w:tcPr>
            <w:tcW w:w="1333" w:type="dxa"/>
            <w:tcBorders>
              <w:top w:val="single" w:sz="4" w:space="0" w:color="auto"/>
              <w:left w:val="single" w:sz="4" w:space="0" w:color="auto"/>
              <w:bottom w:val="single" w:sz="4" w:space="0" w:color="auto"/>
              <w:right w:val="single" w:sz="4" w:space="0" w:color="auto"/>
            </w:tcBorders>
          </w:tcPr>
          <w:p w14:paraId="3C16534D" w14:textId="16ABE101" w:rsidR="0006055B" w:rsidRPr="00906EDA" w:rsidRDefault="0006055B" w:rsidP="0006055B">
            <w:pPr>
              <w:spacing w:line="320" w:lineRule="exact"/>
              <w:rPr>
                <w:sz w:val="20"/>
              </w:rPr>
            </w:pPr>
            <w:r w:rsidRPr="00906EDA">
              <w:rPr>
                <w:sz w:val="20"/>
              </w:rPr>
              <w:t>Februar 20</w:t>
            </w:r>
            <w:r w:rsidR="00D7007E" w:rsidRPr="00906EDA">
              <w:rPr>
                <w:sz w:val="20"/>
              </w:rPr>
              <w:t>31</w:t>
            </w:r>
          </w:p>
        </w:tc>
        <w:tc>
          <w:tcPr>
            <w:tcW w:w="3288" w:type="dxa"/>
            <w:tcBorders>
              <w:top w:val="single" w:sz="4" w:space="0" w:color="auto"/>
              <w:left w:val="single" w:sz="4" w:space="0" w:color="auto"/>
              <w:bottom w:val="single" w:sz="4" w:space="0" w:color="auto"/>
              <w:right w:val="single" w:sz="4" w:space="0" w:color="auto"/>
            </w:tcBorders>
          </w:tcPr>
          <w:p w14:paraId="3F8682CB" w14:textId="6ACC3511" w:rsidR="0006055B" w:rsidRPr="00906EDA" w:rsidRDefault="0006055B" w:rsidP="0006055B">
            <w:pPr>
              <w:spacing w:line="320" w:lineRule="exact"/>
              <w:rPr>
                <w:sz w:val="20"/>
              </w:rPr>
            </w:pPr>
            <w:r w:rsidRPr="00906EDA">
              <w:rPr>
                <w:sz w:val="20"/>
              </w:rPr>
              <w:t>keine</w:t>
            </w:r>
          </w:p>
        </w:tc>
        <w:tc>
          <w:tcPr>
            <w:tcW w:w="3288" w:type="dxa"/>
            <w:tcBorders>
              <w:top w:val="single" w:sz="4" w:space="0" w:color="auto"/>
              <w:left w:val="single" w:sz="4" w:space="0" w:color="auto"/>
              <w:bottom w:val="single" w:sz="4" w:space="0" w:color="auto"/>
              <w:right w:val="single" w:sz="4" w:space="0" w:color="auto"/>
            </w:tcBorders>
          </w:tcPr>
          <w:p w14:paraId="26548D13" w14:textId="36EBB54C" w:rsidR="0006055B" w:rsidRPr="00383995" w:rsidRDefault="00383995" w:rsidP="0006055B">
            <w:pPr>
              <w:spacing w:line="320" w:lineRule="exact"/>
              <w:rPr>
                <w:sz w:val="20"/>
                <w:lang w:val="en-GB"/>
              </w:rPr>
            </w:pPr>
            <w:r w:rsidRPr="00383995">
              <w:rPr>
                <w:sz w:val="20"/>
                <w:lang w:val="en-GB"/>
              </w:rPr>
              <w:t>Polar Fox Holding I ApS, Skive, Dänemark</w:t>
            </w:r>
          </w:p>
        </w:tc>
      </w:tr>
      <w:tr w:rsidR="00645E94" w:rsidRPr="00906EDA" w14:paraId="4C5DF47E" w14:textId="77777777" w:rsidTr="007458B8">
        <w:tc>
          <w:tcPr>
            <w:tcW w:w="1856" w:type="dxa"/>
            <w:tcBorders>
              <w:top w:val="single" w:sz="4" w:space="0" w:color="auto"/>
              <w:left w:val="single" w:sz="4" w:space="0" w:color="auto"/>
              <w:bottom w:val="single" w:sz="4" w:space="0" w:color="auto"/>
              <w:right w:val="single" w:sz="4" w:space="0" w:color="auto"/>
            </w:tcBorders>
          </w:tcPr>
          <w:p w14:paraId="43AE9C91" w14:textId="38019806" w:rsidR="00645E94" w:rsidRPr="00645E94" w:rsidRDefault="00645E94" w:rsidP="00645E94">
            <w:pPr>
              <w:spacing w:line="320" w:lineRule="exact"/>
              <w:rPr>
                <w:i/>
                <w:iCs/>
                <w:sz w:val="20"/>
              </w:rPr>
            </w:pPr>
            <w:r w:rsidRPr="00645E94">
              <w:rPr>
                <w:i/>
                <w:iCs/>
                <w:sz w:val="20"/>
              </w:rPr>
              <w:t>Melanie Wiese</w:t>
            </w:r>
            <w:r w:rsidRPr="00645E94">
              <w:rPr>
                <w:rStyle w:val="Funotenzeichen"/>
                <w:i/>
                <w:iCs/>
                <w:sz w:val="14"/>
                <w:szCs w:val="14"/>
              </w:rPr>
              <w:footnoteReference w:id="1"/>
            </w:r>
          </w:p>
        </w:tc>
        <w:tc>
          <w:tcPr>
            <w:tcW w:w="1400" w:type="dxa"/>
            <w:tcBorders>
              <w:top w:val="single" w:sz="4" w:space="0" w:color="auto"/>
              <w:left w:val="single" w:sz="4" w:space="0" w:color="auto"/>
              <w:bottom w:val="single" w:sz="4" w:space="0" w:color="auto"/>
              <w:right w:val="single" w:sz="4" w:space="0" w:color="auto"/>
            </w:tcBorders>
          </w:tcPr>
          <w:p w14:paraId="1CB94FBA" w14:textId="3550D67B" w:rsidR="00645E94" w:rsidRPr="00906EDA" w:rsidRDefault="00645E94" w:rsidP="00645E94">
            <w:pPr>
              <w:spacing w:line="320" w:lineRule="exact"/>
              <w:rPr>
                <w:sz w:val="20"/>
              </w:rPr>
            </w:pPr>
            <w:r w:rsidRPr="004B671B">
              <w:rPr>
                <w:sz w:val="20"/>
              </w:rPr>
              <w:t>1974</w:t>
            </w:r>
          </w:p>
        </w:tc>
        <w:tc>
          <w:tcPr>
            <w:tcW w:w="1365" w:type="dxa"/>
            <w:tcBorders>
              <w:top w:val="single" w:sz="4" w:space="0" w:color="auto"/>
              <w:left w:val="single" w:sz="4" w:space="0" w:color="auto"/>
              <w:bottom w:val="single" w:sz="4" w:space="0" w:color="auto"/>
              <w:right w:val="single" w:sz="4" w:space="0" w:color="auto"/>
            </w:tcBorders>
          </w:tcPr>
          <w:p w14:paraId="0C345F60" w14:textId="79410BC4" w:rsidR="00645E94" w:rsidRPr="00906EDA" w:rsidRDefault="00645E94" w:rsidP="00645E94">
            <w:pPr>
              <w:spacing w:line="320" w:lineRule="exact"/>
              <w:rPr>
                <w:sz w:val="20"/>
              </w:rPr>
            </w:pPr>
            <w:r w:rsidRPr="004B671B">
              <w:rPr>
                <w:sz w:val="20"/>
              </w:rPr>
              <w:t>Deutsch</w:t>
            </w:r>
          </w:p>
        </w:tc>
        <w:tc>
          <w:tcPr>
            <w:tcW w:w="1590" w:type="dxa"/>
            <w:tcBorders>
              <w:top w:val="single" w:sz="4" w:space="0" w:color="auto"/>
              <w:left w:val="single" w:sz="4" w:space="0" w:color="auto"/>
              <w:bottom w:val="single" w:sz="4" w:space="0" w:color="auto"/>
              <w:right w:val="single" w:sz="4" w:space="0" w:color="auto"/>
            </w:tcBorders>
          </w:tcPr>
          <w:p w14:paraId="503BA052" w14:textId="4F6D4B4C" w:rsidR="00645E94" w:rsidRPr="00906EDA" w:rsidRDefault="00645E94" w:rsidP="00645E94">
            <w:pPr>
              <w:spacing w:line="320" w:lineRule="exact"/>
              <w:rPr>
                <w:sz w:val="20"/>
              </w:rPr>
            </w:pPr>
            <w:r w:rsidRPr="004B671B">
              <w:rPr>
                <w:sz w:val="20"/>
              </w:rPr>
              <w:t>Januar 2023</w:t>
            </w:r>
          </w:p>
        </w:tc>
        <w:tc>
          <w:tcPr>
            <w:tcW w:w="1333" w:type="dxa"/>
            <w:tcBorders>
              <w:top w:val="single" w:sz="4" w:space="0" w:color="auto"/>
              <w:left w:val="single" w:sz="4" w:space="0" w:color="auto"/>
              <w:bottom w:val="single" w:sz="4" w:space="0" w:color="auto"/>
              <w:right w:val="single" w:sz="4" w:space="0" w:color="auto"/>
            </w:tcBorders>
          </w:tcPr>
          <w:p w14:paraId="1A823758" w14:textId="2EEE8E6F" w:rsidR="00645E94" w:rsidRPr="00906EDA" w:rsidRDefault="00645E94" w:rsidP="00645E94">
            <w:pPr>
              <w:spacing w:line="320" w:lineRule="exact"/>
              <w:rPr>
                <w:sz w:val="20"/>
              </w:rPr>
            </w:pPr>
            <w:r w:rsidRPr="004B671B">
              <w:rPr>
                <w:sz w:val="20"/>
              </w:rPr>
              <w:t>Dezember 2025</w:t>
            </w:r>
          </w:p>
        </w:tc>
        <w:tc>
          <w:tcPr>
            <w:tcW w:w="3288" w:type="dxa"/>
            <w:tcBorders>
              <w:top w:val="single" w:sz="4" w:space="0" w:color="auto"/>
              <w:left w:val="single" w:sz="4" w:space="0" w:color="auto"/>
              <w:bottom w:val="single" w:sz="4" w:space="0" w:color="auto"/>
              <w:right w:val="single" w:sz="4" w:space="0" w:color="auto"/>
            </w:tcBorders>
          </w:tcPr>
          <w:p w14:paraId="1091DE5F" w14:textId="10DAFA6A" w:rsidR="00645E94" w:rsidRPr="00906EDA" w:rsidRDefault="00645E94" w:rsidP="00645E94">
            <w:pPr>
              <w:spacing w:line="320" w:lineRule="exact"/>
              <w:rPr>
                <w:sz w:val="20"/>
              </w:rPr>
            </w:pPr>
            <w:r w:rsidRPr="004B671B">
              <w:rPr>
                <w:sz w:val="20"/>
              </w:rPr>
              <w:t>keine</w:t>
            </w:r>
          </w:p>
        </w:tc>
        <w:tc>
          <w:tcPr>
            <w:tcW w:w="3288" w:type="dxa"/>
            <w:tcBorders>
              <w:top w:val="single" w:sz="4" w:space="0" w:color="auto"/>
              <w:left w:val="single" w:sz="4" w:space="0" w:color="auto"/>
              <w:bottom w:val="single" w:sz="4" w:space="0" w:color="auto"/>
              <w:right w:val="single" w:sz="4" w:space="0" w:color="auto"/>
            </w:tcBorders>
          </w:tcPr>
          <w:p w14:paraId="470CAD37" w14:textId="3BC56FED" w:rsidR="00645E94" w:rsidRPr="00906EDA" w:rsidRDefault="00645E94" w:rsidP="00645E94">
            <w:pPr>
              <w:spacing w:line="320" w:lineRule="exact"/>
              <w:rPr>
                <w:sz w:val="20"/>
              </w:rPr>
            </w:pPr>
            <w:r w:rsidRPr="004B671B">
              <w:rPr>
                <w:sz w:val="20"/>
              </w:rPr>
              <w:t>keine</w:t>
            </w:r>
          </w:p>
        </w:tc>
      </w:tr>
      <w:bookmarkEnd w:id="3"/>
      <w:bookmarkEnd w:id="4"/>
      <w:bookmarkEnd w:id="5"/>
    </w:tbl>
    <w:p w14:paraId="53C4ED20" w14:textId="55855DAA" w:rsidR="00101702" w:rsidRPr="00906EDA" w:rsidRDefault="00101702" w:rsidP="008E0CC7">
      <w:pPr>
        <w:pStyle w:val="Kopfzeile"/>
        <w:spacing w:line="320" w:lineRule="exact"/>
        <w:ind w:right="1700"/>
        <w:jc w:val="both"/>
        <w:sectPr w:rsidR="00101702" w:rsidRPr="00906EDA" w:rsidSect="00101702">
          <w:pgSz w:w="16840" w:h="11907" w:orient="landscape" w:code="9"/>
          <w:pgMar w:top="1134" w:right="1535" w:bottom="1418" w:left="1134" w:header="851" w:footer="720" w:gutter="0"/>
          <w:cols w:space="720"/>
          <w:titlePg/>
          <w:docGrid w:linePitch="326"/>
        </w:sectPr>
      </w:pPr>
    </w:p>
    <w:p w14:paraId="56EA8155" w14:textId="5B360147" w:rsidR="006D2E0A" w:rsidRPr="00906EDA" w:rsidRDefault="00040A83" w:rsidP="008E0CC7">
      <w:pPr>
        <w:pStyle w:val="Kopfzeile"/>
        <w:spacing w:line="320" w:lineRule="exact"/>
        <w:ind w:right="1700"/>
        <w:jc w:val="both"/>
        <w:rPr>
          <w:b/>
        </w:rPr>
      </w:pPr>
      <w:r w:rsidRPr="00906EDA">
        <w:lastRenderedPageBreak/>
        <w:t>I</w:t>
      </w:r>
      <w:r w:rsidR="007B58D0" w:rsidRPr="00906EDA">
        <w:t>n der Geschäftsordnung für den Vorstand</w:t>
      </w:r>
      <w:r w:rsidR="00312643" w:rsidRPr="00906EDA">
        <w:t xml:space="preserve">, </w:t>
      </w:r>
      <w:r w:rsidR="00B40F94" w:rsidRPr="00906EDA">
        <w:t>§</w:t>
      </w:r>
      <w:r w:rsidR="00A430F6">
        <w:t> </w:t>
      </w:r>
      <w:r w:rsidR="00B40F94" w:rsidRPr="00906EDA">
        <w:t>1 Abs.</w:t>
      </w:r>
      <w:r w:rsidR="00A430F6">
        <w:t> </w:t>
      </w:r>
      <w:r w:rsidR="00B40F94" w:rsidRPr="00906EDA">
        <w:t>3</w:t>
      </w:r>
      <w:r w:rsidR="00312643" w:rsidRPr="00906EDA">
        <w:t>,</w:t>
      </w:r>
      <w:r w:rsidR="00B40F94" w:rsidRPr="00906EDA">
        <w:t xml:space="preserve"> </w:t>
      </w:r>
      <w:r w:rsidRPr="00906EDA">
        <w:t xml:space="preserve">ist </w:t>
      </w:r>
      <w:r w:rsidR="007B58D0" w:rsidRPr="00906EDA">
        <w:t xml:space="preserve">festgelegt, dass </w:t>
      </w:r>
      <w:r w:rsidRPr="00906EDA">
        <w:t xml:space="preserve">die Mitglieder des Vorstands </w:t>
      </w:r>
      <w:r w:rsidR="007B58D0" w:rsidRPr="00906EDA">
        <w:t xml:space="preserve">mit der Hauptversammlung aus ihrem Amt ausscheiden, die </w:t>
      </w:r>
      <w:r w:rsidR="004C7D7E" w:rsidRPr="00906EDA">
        <w:t>auf die</w:t>
      </w:r>
      <w:r w:rsidR="007B58D0" w:rsidRPr="00906EDA">
        <w:t xml:space="preserve"> Vollendung ihres 65. Lebensjahres folgt.</w:t>
      </w:r>
    </w:p>
    <w:p w14:paraId="27A5FF6B" w14:textId="77777777" w:rsidR="00B30032" w:rsidRPr="00906EDA" w:rsidRDefault="00B30032" w:rsidP="00B37DDF">
      <w:pPr>
        <w:pStyle w:val="Kopfzeile"/>
        <w:spacing w:line="320" w:lineRule="exact"/>
        <w:ind w:right="1700"/>
        <w:jc w:val="both"/>
      </w:pPr>
    </w:p>
    <w:p w14:paraId="26446711" w14:textId="6A2001DC" w:rsidR="00B30032" w:rsidRPr="00906EDA" w:rsidRDefault="00040A83" w:rsidP="00B37DDF">
      <w:pPr>
        <w:spacing w:line="320" w:lineRule="exact"/>
        <w:ind w:right="1700"/>
        <w:jc w:val="both"/>
        <w:rPr>
          <w:rFonts w:cstheme="minorHAnsi"/>
        </w:rPr>
      </w:pPr>
      <w:r w:rsidRPr="00906EDA">
        <w:rPr>
          <w:rFonts w:cstheme="minorHAnsi"/>
        </w:rPr>
        <w:t>Die mit dem Investmentgeschäft befassten Vorstands</w:t>
      </w:r>
      <w:r w:rsidR="00980A83" w:rsidRPr="00906EDA">
        <w:rPr>
          <w:rFonts w:cstheme="minorHAnsi"/>
        </w:rPr>
        <w:t>mitglieder</w:t>
      </w:r>
      <w:r w:rsidRPr="00906EDA">
        <w:rPr>
          <w:rFonts w:cstheme="minorHAnsi"/>
        </w:rPr>
        <w:t xml:space="preserve"> sind in die Kernprozesse des DBAG-Geschäfts (also Beteiligungsverwaltung bzw. -beratung) </w:t>
      </w:r>
      <w:r w:rsidR="00675099" w:rsidRPr="00906EDA">
        <w:rPr>
          <w:rFonts w:cstheme="minorHAnsi"/>
        </w:rPr>
        <w:t>eingebunden</w:t>
      </w:r>
      <w:r w:rsidRPr="00906EDA">
        <w:rPr>
          <w:rFonts w:cstheme="minorHAnsi"/>
        </w:rPr>
        <w:t xml:space="preserve">. </w:t>
      </w:r>
      <w:r w:rsidR="00980A83" w:rsidRPr="00906EDA">
        <w:rPr>
          <w:rFonts w:cstheme="minorHAnsi"/>
        </w:rPr>
        <w:t xml:space="preserve">Dazu gehören </w:t>
      </w:r>
      <w:r w:rsidR="008A732B" w:rsidRPr="00906EDA">
        <w:rPr>
          <w:rFonts w:cstheme="minorHAnsi"/>
        </w:rPr>
        <w:t>die</w:t>
      </w:r>
      <w:r w:rsidRPr="00906EDA">
        <w:rPr>
          <w:rFonts w:cstheme="minorHAnsi"/>
        </w:rPr>
        <w:t xml:space="preserve"> Generierung von Beteiligungsmöglichkeiten sowie d</w:t>
      </w:r>
      <w:r w:rsidR="008A732B" w:rsidRPr="00906EDA">
        <w:rPr>
          <w:rFonts w:cstheme="minorHAnsi"/>
        </w:rPr>
        <w:t>ie</w:t>
      </w:r>
      <w:r w:rsidRPr="00906EDA">
        <w:rPr>
          <w:rFonts w:cstheme="minorHAnsi"/>
        </w:rPr>
        <w:t xml:space="preserve"> Prüfung und Verhandlung von Unternehmenskäufen und -verkäufen. Darüber hinaus erörtern sie in </w:t>
      </w:r>
      <w:r w:rsidR="008233D8" w:rsidRPr="00906EDA">
        <w:rPr>
          <w:rFonts w:cstheme="minorHAnsi"/>
        </w:rPr>
        <w:t xml:space="preserve">regelmäßigen </w:t>
      </w:r>
      <w:r w:rsidRPr="00906EDA">
        <w:rPr>
          <w:rFonts w:cstheme="minorHAnsi"/>
        </w:rPr>
        <w:t>Sitzungen mit den Mitgliedern des Investment</w:t>
      </w:r>
      <w:r w:rsidR="00893DFC" w:rsidRPr="00906EDA">
        <w:rPr>
          <w:rFonts w:cstheme="minorHAnsi"/>
        </w:rPr>
        <w:t xml:space="preserve"> Advisory T</w:t>
      </w:r>
      <w:r w:rsidRPr="00906EDA">
        <w:rPr>
          <w:rFonts w:cstheme="minorHAnsi"/>
        </w:rPr>
        <w:t xml:space="preserve">eams, die direkt mit Beteiligungstransaktionen oder der Begleitung der Portfoliounternehmen befasst sind, wesentliche Entwicklungen. </w:t>
      </w:r>
    </w:p>
    <w:p w14:paraId="2932BDAF" w14:textId="77777777" w:rsidR="00B30032" w:rsidRPr="00906EDA" w:rsidRDefault="00B30032" w:rsidP="00B37DDF">
      <w:pPr>
        <w:spacing w:line="320" w:lineRule="exact"/>
        <w:ind w:right="1700"/>
        <w:jc w:val="both"/>
        <w:rPr>
          <w:szCs w:val="24"/>
        </w:rPr>
      </w:pPr>
    </w:p>
    <w:p w14:paraId="7AD99C5C" w14:textId="0A545EB1" w:rsidR="00B30032" w:rsidRPr="00906EDA" w:rsidRDefault="00040A83" w:rsidP="00B37DDF">
      <w:pPr>
        <w:spacing w:line="320" w:lineRule="exact"/>
        <w:ind w:right="1700"/>
        <w:jc w:val="both"/>
        <w:rPr>
          <w:szCs w:val="24"/>
        </w:rPr>
      </w:pPr>
      <w:r w:rsidRPr="00906EDA">
        <w:rPr>
          <w:szCs w:val="24"/>
        </w:rPr>
        <w:t xml:space="preserve">Die Mitglieder des Vorstands sind zugleich Mitglieder des Bewertungsausschusses, des Anlageausschusses und des Risikokomitees. Der Bewertungsausschuss bewertet die Portfoliounternehmen zu den jeweiligen Stichtagen; ihm gehören außerdem </w:t>
      </w:r>
      <w:r w:rsidR="00204CAF" w:rsidRPr="00906EDA">
        <w:rPr>
          <w:szCs w:val="24"/>
        </w:rPr>
        <w:t>die Investmentcontroller</w:t>
      </w:r>
      <w:r w:rsidR="00340FE0" w:rsidRPr="00906EDA">
        <w:rPr>
          <w:szCs w:val="24"/>
        </w:rPr>
        <w:t>, die Leiterin IFRS Grundsatzfragen</w:t>
      </w:r>
      <w:r w:rsidRPr="00906EDA">
        <w:rPr>
          <w:szCs w:val="24"/>
        </w:rPr>
        <w:t xml:space="preserve"> sowie weitere Mitarbeiter an. </w:t>
      </w:r>
      <w:bookmarkStart w:id="6" w:name="_Hlk520962549"/>
      <w:r w:rsidR="00675099" w:rsidRPr="00906EDA">
        <w:rPr>
          <w:szCs w:val="24"/>
        </w:rPr>
        <w:t>Der Anlageausschuss entscheidet ü</w:t>
      </w:r>
      <w:r w:rsidRPr="00906EDA">
        <w:rPr>
          <w:szCs w:val="24"/>
        </w:rPr>
        <w:t>ber die Anlage des Planvermögens für Pensionsverbindlichkeiten (CTA)</w:t>
      </w:r>
      <w:r w:rsidR="008A732B" w:rsidRPr="00906EDA">
        <w:rPr>
          <w:szCs w:val="24"/>
        </w:rPr>
        <w:t xml:space="preserve">; </w:t>
      </w:r>
      <w:r w:rsidR="00675099" w:rsidRPr="00906EDA">
        <w:rPr>
          <w:szCs w:val="24"/>
        </w:rPr>
        <w:t>ihm gehören</w:t>
      </w:r>
      <w:r w:rsidRPr="00906EDA">
        <w:rPr>
          <w:szCs w:val="24"/>
        </w:rPr>
        <w:t xml:space="preserve"> die Mitglieder des Vorstands sowie ein Vertreter des Treuhänders an. </w:t>
      </w:r>
      <w:bookmarkEnd w:id="6"/>
      <w:r w:rsidRPr="00906EDA">
        <w:rPr>
          <w:szCs w:val="24"/>
        </w:rPr>
        <w:t xml:space="preserve">Dem Risikokomitee gehören neben dem Vorstand der Risikomanager und die Risikoverantwortlichen auf der Ebene der Geschäftsleiter </w:t>
      </w:r>
      <w:r w:rsidR="00BB2A0F" w:rsidRPr="00906EDA">
        <w:rPr>
          <w:szCs w:val="24"/>
        </w:rPr>
        <w:t xml:space="preserve">und die Leiterin Investment Controlling </w:t>
      </w:r>
      <w:r w:rsidRPr="00906EDA">
        <w:rPr>
          <w:szCs w:val="24"/>
        </w:rPr>
        <w:t xml:space="preserve">an. </w:t>
      </w:r>
      <w:r w:rsidR="00BB2A0F" w:rsidRPr="00906EDA">
        <w:rPr>
          <w:szCs w:val="24"/>
        </w:rPr>
        <w:t xml:space="preserve">Das Risikokomitee </w:t>
      </w:r>
      <w:r w:rsidRPr="00906EDA">
        <w:rPr>
          <w:szCs w:val="24"/>
        </w:rPr>
        <w:t xml:space="preserve">überprüft einmal jährlich das Risikoprofil der DBAG; damit verbunden ist auch eine Analyse der </w:t>
      </w:r>
      <w:r w:rsidR="00675099" w:rsidRPr="00906EDA">
        <w:rPr>
          <w:szCs w:val="24"/>
        </w:rPr>
        <w:t>Maßnahmen</w:t>
      </w:r>
      <w:r w:rsidRPr="00906EDA">
        <w:rPr>
          <w:szCs w:val="24"/>
        </w:rPr>
        <w:t xml:space="preserve"> zur Risikosteuerung.</w:t>
      </w:r>
      <w:r w:rsidR="00434320" w:rsidRPr="00906EDA">
        <w:rPr>
          <w:szCs w:val="24"/>
        </w:rPr>
        <w:t xml:space="preserve"> </w:t>
      </w:r>
      <w:r w:rsidRPr="00906EDA">
        <w:rPr>
          <w:szCs w:val="24"/>
        </w:rPr>
        <w:t>Weitere Ausschüsse hat der Vorstand nicht gebildet.</w:t>
      </w:r>
    </w:p>
    <w:p w14:paraId="095081C4" w14:textId="07C6E2B9" w:rsidR="00B30032" w:rsidRPr="00906EDA" w:rsidRDefault="00B30032" w:rsidP="00B37DDF">
      <w:pPr>
        <w:spacing w:line="320" w:lineRule="exact"/>
        <w:ind w:right="1700"/>
        <w:jc w:val="both"/>
        <w:rPr>
          <w:b/>
          <w:szCs w:val="24"/>
        </w:rPr>
      </w:pPr>
    </w:p>
    <w:p w14:paraId="3A895B54" w14:textId="7CBAAF01" w:rsidR="006758CB" w:rsidRPr="00906EDA" w:rsidRDefault="00040A83">
      <w:pPr>
        <w:spacing w:line="320" w:lineRule="exact"/>
        <w:ind w:right="1700"/>
        <w:jc w:val="both"/>
        <w:rPr>
          <w:szCs w:val="24"/>
        </w:rPr>
      </w:pPr>
      <w:r w:rsidRPr="00906EDA">
        <w:rPr>
          <w:szCs w:val="24"/>
        </w:rPr>
        <w:t xml:space="preserve">Gegenwärtig investiert die DBAG an der Seite </w:t>
      </w:r>
      <w:r w:rsidR="009A7E40" w:rsidRPr="00906EDA">
        <w:rPr>
          <w:szCs w:val="24"/>
        </w:rPr>
        <w:t>des</w:t>
      </w:r>
      <w:r w:rsidRPr="00906EDA">
        <w:rPr>
          <w:szCs w:val="24"/>
        </w:rPr>
        <w:t xml:space="preserve"> DBAG Fund VIII</w:t>
      </w:r>
      <w:r w:rsidR="00BF7C39">
        <w:rPr>
          <w:szCs w:val="24"/>
        </w:rPr>
        <w:t xml:space="preserve"> und</w:t>
      </w:r>
      <w:r w:rsidR="00253DFD" w:rsidRPr="00906EDA">
        <w:rPr>
          <w:szCs w:val="24"/>
        </w:rPr>
        <w:t xml:space="preserve"> des DBAG E</w:t>
      </w:r>
      <w:r w:rsidR="00D7007E" w:rsidRPr="00906EDA">
        <w:rPr>
          <w:szCs w:val="24"/>
        </w:rPr>
        <w:t>CF IV</w:t>
      </w:r>
      <w:r w:rsidR="00D402FF" w:rsidRPr="00906EDA">
        <w:rPr>
          <w:szCs w:val="24"/>
        </w:rPr>
        <w:t xml:space="preserve"> </w:t>
      </w:r>
      <w:r w:rsidR="00BF7C39">
        <w:rPr>
          <w:szCs w:val="24"/>
        </w:rPr>
        <w:t>sowie</w:t>
      </w:r>
      <w:r w:rsidR="00BF7C39" w:rsidRPr="00906EDA">
        <w:rPr>
          <w:szCs w:val="24"/>
        </w:rPr>
        <w:t xml:space="preserve"> </w:t>
      </w:r>
      <w:r w:rsidR="00D402FF" w:rsidRPr="00906EDA">
        <w:rPr>
          <w:szCs w:val="24"/>
        </w:rPr>
        <w:t>in die ELF</w:t>
      </w:r>
      <w:r w:rsidR="00893DFC" w:rsidRPr="00906EDA">
        <w:rPr>
          <w:szCs w:val="24"/>
        </w:rPr>
        <w:t>-</w:t>
      </w:r>
      <w:r w:rsidR="00D402FF" w:rsidRPr="00906EDA">
        <w:rPr>
          <w:szCs w:val="24"/>
        </w:rPr>
        <w:t>Fonds</w:t>
      </w:r>
      <w:r w:rsidR="00204CAF" w:rsidRPr="00906EDA">
        <w:rPr>
          <w:szCs w:val="24"/>
        </w:rPr>
        <w:t>. Daneben geht sie</w:t>
      </w:r>
      <w:r w:rsidR="00FD2A2E" w:rsidRPr="00906EDA">
        <w:rPr>
          <w:szCs w:val="24"/>
        </w:rPr>
        <w:t xml:space="preserve"> </w:t>
      </w:r>
      <w:r w:rsidR="00CC0E59" w:rsidRPr="00906EDA">
        <w:rPr>
          <w:szCs w:val="24"/>
        </w:rPr>
        <w:t xml:space="preserve">allein </w:t>
      </w:r>
      <w:r w:rsidR="00075A71" w:rsidRPr="00906EDA">
        <w:rPr>
          <w:szCs w:val="24"/>
        </w:rPr>
        <w:t>ohne DBAG</w:t>
      </w:r>
      <w:r w:rsidR="00893DFC" w:rsidRPr="00906EDA">
        <w:rPr>
          <w:szCs w:val="24"/>
        </w:rPr>
        <w:t>-</w:t>
      </w:r>
      <w:r w:rsidR="00CC0E59" w:rsidRPr="00906EDA">
        <w:rPr>
          <w:szCs w:val="24"/>
        </w:rPr>
        <w:t>Fonds</w:t>
      </w:r>
      <w:r w:rsidR="00204CAF" w:rsidRPr="00906EDA">
        <w:rPr>
          <w:szCs w:val="24"/>
        </w:rPr>
        <w:t xml:space="preserve"> Langfristige Beteiligungen ein</w:t>
      </w:r>
      <w:r w:rsidRPr="00906EDA">
        <w:rPr>
          <w:szCs w:val="24"/>
        </w:rPr>
        <w:t xml:space="preserve">. </w:t>
      </w:r>
      <w:r w:rsidR="001943B5" w:rsidRPr="00906EDA">
        <w:rPr>
          <w:szCs w:val="24"/>
        </w:rPr>
        <w:t xml:space="preserve">Über </w:t>
      </w:r>
      <w:r w:rsidR="004D4168" w:rsidRPr="00906EDA">
        <w:rPr>
          <w:szCs w:val="24"/>
        </w:rPr>
        <w:t xml:space="preserve">die Beteiligung der DBAG an </w:t>
      </w:r>
      <w:r w:rsidR="001943B5" w:rsidRPr="00906EDA">
        <w:rPr>
          <w:szCs w:val="24"/>
        </w:rPr>
        <w:t>Transaktionen mit durchgerechneten Anschaffungskosten der Gesellschaft bei Investitionen der DBAG</w:t>
      </w:r>
      <w:r w:rsidR="00893DFC" w:rsidRPr="00906EDA">
        <w:rPr>
          <w:szCs w:val="24"/>
        </w:rPr>
        <w:t>-</w:t>
      </w:r>
      <w:r w:rsidR="001943B5" w:rsidRPr="00906EDA">
        <w:rPr>
          <w:szCs w:val="24"/>
        </w:rPr>
        <w:t>Fonds oder bei Investitionen aus der eigenen Bilanz der Gesellschaft von mehr als 35 Mi</w:t>
      </w:r>
      <w:r w:rsidR="00BF7C39">
        <w:rPr>
          <w:szCs w:val="24"/>
        </w:rPr>
        <w:t>llionen</w:t>
      </w:r>
      <w:r w:rsidR="001943B5" w:rsidRPr="00906EDA">
        <w:rPr>
          <w:szCs w:val="24"/>
        </w:rPr>
        <w:t xml:space="preserve"> Euro (bzw. bei Investitionen unter Beteiligung des Top-</w:t>
      </w:r>
      <w:r w:rsidR="00BF7C39">
        <w:rPr>
          <w:szCs w:val="24"/>
        </w:rPr>
        <w:t>u</w:t>
      </w:r>
      <w:r w:rsidR="001943B5" w:rsidRPr="00906EDA">
        <w:rPr>
          <w:szCs w:val="24"/>
        </w:rPr>
        <w:t>p-Fund des DBAG Fund VIII von mehr als 50 Mi</w:t>
      </w:r>
      <w:r w:rsidR="00BF7C39">
        <w:rPr>
          <w:szCs w:val="24"/>
        </w:rPr>
        <w:t>llionen</w:t>
      </w:r>
      <w:r w:rsidR="001943B5" w:rsidRPr="00906EDA">
        <w:rPr>
          <w:szCs w:val="24"/>
        </w:rPr>
        <w:t xml:space="preserve"> Euro) entscheidet der Vorstand mit der Zustimmung des Aufsichtsrats.</w:t>
      </w:r>
    </w:p>
    <w:p w14:paraId="42817C22" w14:textId="77777777" w:rsidR="006758CB" w:rsidRPr="00906EDA" w:rsidRDefault="006758CB" w:rsidP="00B37DDF">
      <w:pPr>
        <w:spacing w:line="320" w:lineRule="exact"/>
        <w:jc w:val="both"/>
      </w:pPr>
    </w:p>
    <w:p w14:paraId="7C83FD4A" w14:textId="6E60CD2A" w:rsidR="006758CB" w:rsidRPr="00906EDA" w:rsidRDefault="00040A83" w:rsidP="008E0CC7">
      <w:pPr>
        <w:pStyle w:val="berschrift2"/>
      </w:pPr>
      <w:r w:rsidRPr="00906EDA">
        <w:t xml:space="preserve">Vergütung: </w:t>
      </w:r>
      <w:r w:rsidR="00675099" w:rsidRPr="00906EDA">
        <w:t>Beim</w:t>
      </w:r>
      <w:r w:rsidRPr="00906EDA">
        <w:t xml:space="preserve"> Vorstand abhängig vom Unternehmenserfolg</w:t>
      </w:r>
    </w:p>
    <w:p w14:paraId="6E98F106" w14:textId="3455289A" w:rsidR="006758CB" w:rsidRPr="00906EDA" w:rsidRDefault="00040A83" w:rsidP="00FD2A2E">
      <w:pPr>
        <w:spacing w:line="320" w:lineRule="exact"/>
        <w:ind w:right="1700"/>
        <w:jc w:val="both"/>
      </w:pPr>
      <w:r w:rsidRPr="00906EDA">
        <w:t xml:space="preserve">Die Vergütung der Vorstandsmitglieder setzt sich aus erfolgsunabhängigen und </w:t>
      </w:r>
      <w:r w:rsidR="00675099" w:rsidRPr="00906EDA">
        <w:t xml:space="preserve">ganz überwiegend langfristig wirkenden </w:t>
      </w:r>
      <w:r w:rsidRPr="00906EDA">
        <w:t xml:space="preserve">erfolgsbezogenen Komponenten zusammen. Wir weisen die Vorstandsbezüge individualisiert aus. Die Hauptversammlung </w:t>
      </w:r>
      <w:r w:rsidR="00FD2A2E" w:rsidRPr="00906EDA">
        <w:t xml:space="preserve">am </w:t>
      </w:r>
      <w:r w:rsidR="005D6473" w:rsidRPr="00906EDA">
        <w:t>2</w:t>
      </w:r>
      <w:r w:rsidR="003D68EA" w:rsidRPr="00906EDA">
        <w:t>2</w:t>
      </w:r>
      <w:r w:rsidR="00FD2A2E" w:rsidRPr="00906EDA">
        <w:t>. Februar 202</w:t>
      </w:r>
      <w:r w:rsidR="003D68EA" w:rsidRPr="00906EDA">
        <w:t>4</w:t>
      </w:r>
      <w:r w:rsidRPr="00906EDA">
        <w:t xml:space="preserve"> billigte das Vergütungssystem mit einer Zustimmung von </w:t>
      </w:r>
      <w:r w:rsidR="003D68EA" w:rsidRPr="00906EDA">
        <w:t xml:space="preserve">96,52 </w:t>
      </w:r>
      <w:r w:rsidRPr="00906EDA">
        <w:t>Prozent.</w:t>
      </w:r>
    </w:p>
    <w:p w14:paraId="089AF334" w14:textId="77777777" w:rsidR="00B37DDF" w:rsidRPr="00906EDA" w:rsidRDefault="00B37DDF" w:rsidP="00B37DDF">
      <w:pPr>
        <w:spacing w:line="320" w:lineRule="exact"/>
        <w:ind w:right="1700"/>
        <w:jc w:val="both"/>
      </w:pPr>
    </w:p>
    <w:p w14:paraId="0A2C77F2" w14:textId="53757B0F" w:rsidR="006758CB" w:rsidRPr="00906EDA" w:rsidRDefault="00040A83" w:rsidP="00464C4A">
      <w:pPr>
        <w:keepNext/>
        <w:spacing w:line="320" w:lineRule="exact"/>
        <w:ind w:right="1701"/>
        <w:jc w:val="both"/>
      </w:pPr>
      <w:r w:rsidRPr="00906EDA">
        <w:lastRenderedPageBreak/>
        <w:t>Die Vergütung des Aufsichtsrats besteht ausschließlich aus einer Festvergütung.</w:t>
      </w:r>
    </w:p>
    <w:p w14:paraId="67022700" w14:textId="77777777" w:rsidR="006758CB" w:rsidRPr="00906EDA" w:rsidRDefault="006758CB" w:rsidP="00464C4A">
      <w:pPr>
        <w:keepNext/>
        <w:spacing w:line="320" w:lineRule="exact"/>
        <w:ind w:right="1701"/>
        <w:jc w:val="both"/>
      </w:pPr>
    </w:p>
    <w:p w14:paraId="589F0BA8" w14:textId="254F4E97" w:rsidR="006758CB" w:rsidRPr="00906EDA" w:rsidRDefault="00040A83" w:rsidP="008C6B3C">
      <w:pPr>
        <w:keepNext/>
        <w:spacing w:line="320" w:lineRule="exact"/>
        <w:ind w:right="1701"/>
        <w:jc w:val="both"/>
      </w:pPr>
      <w:r w:rsidRPr="00906EDA">
        <w:t xml:space="preserve">Details zur Vergütung des Vorstands und des Aufsichtsrats </w:t>
      </w:r>
      <w:r w:rsidR="00B37DDF" w:rsidRPr="00906EDA">
        <w:t>s</w:t>
      </w:r>
      <w:r w:rsidRPr="00906EDA">
        <w:t xml:space="preserve">ind im Vergütungsbericht </w:t>
      </w:r>
      <w:r w:rsidR="001C00ED" w:rsidRPr="00906EDA">
        <w:t xml:space="preserve">für das jeweilige </w:t>
      </w:r>
      <w:r w:rsidRPr="00906EDA">
        <w:t>Geschäfts</w:t>
      </w:r>
      <w:r w:rsidR="00B37DDF" w:rsidRPr="00906EDA">
        <w:t xml:space="preserve">jahr </w:t>
      </w:r>
      <w:r w:rsidRPr="00906EDA">
        <w:t>erläutert.</w:t>
      </w:r>
    </w:p>
    <w:p w14:paraId="6E86B8CA" w14:textId="416C1797" w:rsidR="004B561B" w:rsidRPr="00906EDA" w:rsidRDefault="004B561B" w:rsidP="008C6B3C">
      <w:pPr>
        <w:keepNext/>
        <w:spacing w:line="320" w:lineRule="exact"/>
        <w:ind w:right="1701"/>
        <w:jc w:val="both"/>
      </w:pPr>
    </w:p>
    <w:p w14:paraId="1C63F430" w14:textId="6B303D78" w:rsidR="00FA51FE" w:rsidRPr="00906EDA" w:rsidRDefault="00040A83" w:rsidP="00464C4A">
      <w:pPr>
        <w:ind w:right="1700"/>
        <w:jc w:val="both"/>
      </w:pPr>
      <w:r w:rsidRPr="00906EDA">
        <w:t xml:space="preserve">Das geltende Vergütungssystem des Vorstands gemäß § 87 Abs. 1 und 2 Satz 1 AktG, das am </w:t>
      </w:r>
      <w:r w:rsidR="003D68EA" w:rsidRPr="00906EDA">
        <w:t xml:space="preserve">22. Februar 2024 </w:t>
      </w:r>
      <w:r w:rsidRPr="00906EDA">
        <w:t xml:space="preserve">von der Hauptversammlung gebilligt wurde, ist auf unserer Internetseite unter </w:t>
      </w:r>
      <w:hyperlink r:id="rId12" w:history="1">
        <w:r w:rsidR="00893DFC" w:rsidRPr="00906EDA">
          <w:rPr>
            <w:rStyle w:val="Hyperlink"/>
          </w:rPr>
          <w:t>https://www.dbag.de/shareholder-relations/</w:t>
        </w:r>
        <w:r w:rsidR="00CF2002" w:rsidRPr="00906EDA">
          <w:rPr>
            <w:rStyle w:val="Hyperlink"/>
          </w:rPr>
          <w:t>corporate-governance</w:t>
        </w:r>
      </w:hyperlink>
      <w:r w:rsidR="00CF2002" w:rsidRPr="00906EDA">
        <w:t xml:space="preserve"> zugänglich</w:t>
      </w:r>
      <w:r w:rsidR="00FA51FE" w:rsidRPr="00906EDA">
        <w:t>.</w:t>
      </w:r>
      <w:r w:rsidRPr="00906EDA">
        <w:t xml:space="preserve"> Dort werden auch der Vergütungsbericht sowie der Vermerk des Abschlussprüfers gemäß § 162 AktG zur Verfügung gestellt. </w:t>
      </w:r>
    </w:p>
    <w:p w14:paraId="2F1CD8B7" w14:textId="77777777" w:rsidR="00FA51FE" w:rsidRPr="00906EDA" w:rsidRDefault="00FA51FE" w:rsidP="00464C4A">
      <w:pPr>
        <w:ind w:right="1700"/>
        <w:jc w:val="both"/>
      </w:pPr>
    </w:p>
    <w:p w14:paraId="6C477EAC" w14:textId="5481E647" w:rsidR="00BB2A0F" w:rsidRPr="00906EDA" w:rsidRDefault="00BB2A0F" w:rsidP="00464C4A">
      <w:pPr>
        <w:ind w:right="1700"/>
        <w:jc w:val="both"/>
      </w:pPr>
      <w:r w:rsidRPr="00906EDA">
        <w:t>Auch das</w:t>
      </w:r>
      <w:r w:rsidR="00040A83" w:rsidRPr="00906EDA">
        <w:t xml:space="preserve"> von der Hauptversammlung am </w:t>
      </w:r>
      <w:r w:rsidR="00D7007E" w:rsidRPr="00906EDA">
        <w:t>27</w:t>
      </w:r>
      <w:r w:rsidR="00040A83" w:rsidRPr="00906EDA">
        <w:t xml:space="preserve">. </w:t>
      </w:r>
      <w:r w:rsidR="00D7007E" w:rsidRPr="00906EDA">
        <w:t>Mai 2025</w:t>
      </w:r>
      <w:r w:rsidR="00040A83" w:rsidRPr="00906EDA">
        <w:t xml:space="preserve"> </w:t>
      </w:r>
      <w:r w:rsidRPr="00906EDA">
        <w:t>beschlossene Vergütungssystem für die</w:t>
      </w:r>
      <w:r w:rsidR="00040A83" w:rsidRPr="00906EDA">
        <w:t xml:space="preserve"> Aufsichtsratsmitglieder </w:t>
      </w:r>
      <w:r w:rsidRPr="00906EDA">
        <w:t>ist dort verlinkt</w:t>
      </w:r>
      <w:r w:rsidR="00040A83" w:rsidRPr="00906EDA">
        <w:t>.</w:t>
      </w:r>
    </w:p>
    <w:p w14:paraId="204F92FF" w14:textId="77777777" w:rsidR="00803986" w:rsidRPr="00906EDA" w:rsidRDefault="00803986" w:rsidP="008E0CC7">
      <w:pPr>
        <w:pStyle w:val="berschrift2"/>
        <w:rPr>
          <w:b w:val="0"/>
        </w:rPr>
      </w:pPr>
      <w:bookmarkStart w:id="7" w:name="_Hlk520962475"/>
    </w:p>
    <w:p w14:paraId="1235C9D8" w14:textId="77D83876" w:rsidR="006C1572" w:rsidRPr="00906EDA" w:rsidRDefault="00040A83" w:rsidP="00B37DDF">
      <w:pPr>
        <w:pStyle w:val="berschrift2"/>
      </w:pPr>
      <w:r w:rsidRPr="00906EDA">
        <w:t xml:space="preserve">Nachfolgeplanung </w:t>
      </w:r>
    </w:p>
    <w:p w14:paraId="2462E7B0" w14:textId="690E2F9D" w:rsidR="002F1486" w:rsidRPr="00906EDA" w:rsidRDefault="00040A83" w:rsidP="00FD2A2E">
      <w:pPr>
        <w:spacing w:line="320" w:lineRule="exact"/>
        <w:ind w:right="1700"/>
        <w:jc w:val="both"/>
      </w:pPr>
      <w:r w:rsidRPr="00906EDA">
        <w:t>Der Aufsichtsrat sorgt gemeinsam mit dem Vorstand für eine langfristige Nachfolgeplanung</w:t>
      </w:r>
      <w:r w:rsidR="00893DFC" w:rsidRPr="00906EDA">
        <w:t xml:space="preserve"> und</w:t>
      </w:r>
      <w:r w:rsidRPr="00906EDA">
        <w:t xml:space="preserve"> befasst sich regelmäßig, auch unabhängig von vorhandenen oder drohenden Vakanzen im Vorstand</w:t>
      </w:r>
      <w:r w:rsidR="00BF7C39">
        <w:t>,</w:t>
      </w:r>
      <w:r w:rsidRPr="00906EDA">
        <w:t xml:space="preserve"> mit</w:t>
      </w:r>
      <w:r w:rsidR="00893DFC" w:rsidRPr="00906EDA">
        <w:t xml:space="preserve"> diesem Thema</w:t>
      </w:r>
      <w:r w:rsidRPr="00906EDA">
        <w:t>. Im Hinblick auf einen späteren Bedarf an neuen Vorstandsmitgliedern wirkt der Aufsichtsrat auf die Identifizierung und sachgerechte interne Entwicklung von Personen auf nachgeordneten Führungsebenen innerhalb des Unternehmens durch den Vorstand hin. Unter der Berücksichtigung der Anforderungen des Aktiengesetzes, des Deutschen Corporate Governance Kodex und der vom Aufsichtsrat festgelegte</w:t>
      </w:r>
      <w:r w:rsidR="00675099" w:rsidRPr="00906EDA">
        <w:t>n</w:t>
      </w:r>
      <w:r w:rsidRPr="00906EDA">
        <w:t xml:space="preserve"> Zielgröße für den Anteil von Frauen im Vorstand entwickelt der Aufsichtsrat ein Anforderungsprofil mit den wesentlichen Eigenschaften und Qualifikationen von </w:t>
      </w:r>
      <w:r w:rsidR="00675099" w:rsidRPr="00906EDA">
        <w:t xml:space="preserve">Kandidatinnen und </w:t>
      </w:r>
      <w:r w:rsidRPr="00906EDA">
        <w:t>Kandidaten, die zur Besetzung von Positionen in</w:t>
      </w:r>
      <w:r w:rsidR="00BF7C39">
        <w:t>f</w:t>
      </w:r>
      <w:r w:rsidRPr="00906EDA">
        <w:t xml:space="preserve">rage kommen. Einfluss auf das Idealprofil haben auch die voraussichtlich zu besetzenden Ressorts und die strategische Planung des Unternehmens. </w:t>
      </w:r>
      <w:r w:rsidR="004736E4" w:rsidRPr="00906EDA">
        <w:rPr>
          <w:szCs w:val="24"/>
        </w:rPr>
        <w:t xml:space="preserve">Neben dem Geschlecht </w:t>
      </w:r>
      <w:r w:rsidR="00094090" w:rsidRPr="00906EDA">
        <w:rPr>
          <w:szCs w:val="24"/>
        </w:rPr>
        <w:t xml:space="preserve">achtet der Aufsichtsrat bei der Zusammensetzung des Vorstands </w:t>
      </w:r>
      <w:r w:rsidR="004736E4" w:rsidRPr="00906EDA">
        <w:rPr>
          <w:szCs w:val="24"/>
        </w:rPr>
        <w:t xml:space="preserve">übergeordnet </w:t>
      </w:r>
      <w:r w:rsidR="00094090" w:rsidRPr="00906EDA">
        <w:rPr>
          <w:szCs w:val="24"/>
        </w:rPr>
        <w:t xml:space="preserve">auf </w:t>
      </w:r>
      <w:r w:rsidR="00D626AA" w:rsidRPr="00906EDA">
        <w:rPr>
          <w:szCs w:val="24"/>
        </w:rPr>
        <w:t xml:space="preserve">Vielfalt </w:t>
      </w:r>
      <w:r w:rsidR="00151278" w:rsidRPr="00906EDA">
        <w:rPr>
          <w:szCs w:val="24"/>
        </w:rPr>
        <w:t xml:space="preserve">(Diversity) </w:t>
      </w:r>
      <w:r w:rsidR="004736E4" w:rsidRPr="00906EDA">
        <w:rPr>
          <w:szCs w:val="24"/>
        </w:rPr>
        <w:t>unter Berücksich</w:t>
      </w:r>
      <w:r w:rsidR="006D75C7" w:rsidRPr="00906EDA">
        <w:rPr>
          <w:szCs w:val="24"/>
        </w:rPr>
        <w:t>t</w:t>
      </w:r>
      <w:r w:rsidR="004736E4" w:rsidRPr="00906EDA">
        <w:rPr>
          <w:szCs w:val="24"/>
        </w:rPr>
        <w:t>igung weiterer Kriterien wie A</w:t>
      </w:r>
      <w:r w:rsidR="00166172" w:rsidRPr="00906EDA">
        <w:rPr>
          <w:szCs w:val="24"/>
        </w:rPr>
        <w:t xml:space="preserve">lter sowie </w:t>
      </w:r>
      <w:r w:rsidR="00D626AA" w:rsidRPr="00906EDA">
        <w:rPr>
          <w:szCs w:val="24"/>
        </w:rPr>
        <w:t xml:space="preserve">Berufsausbildung und -erfahrung. </w:t>
      </w:r>
      <w:r w:rsidR="00D071DE" w:rsidRPr="00906EDA">
        <w:rPr>
          <w:szCs w:val="24"/>
        </w:rPr>
        <w:t xml:space="preserve">Auch die Expertise </w:t>
      </w:r>
      <w:r w:rsidR="00C216E3" w:rsidRPr="00906EDA">
        <w:t>von Kandidatinnen und Kandidaten</w:t>
      </w:r>
      <w:r w:rsidR="00C216E3" w:rsidRPr="00906EDA">
        <w:rPr>
          <w:szCs w:val="24"/>
        </w:rPr>
        <w:t xml:space="preserve"> </w:t>
      </w:r>
      <w:r w:rsidR="00D071DE" w:rsidRPr="00906EDA">
        <w:rPr>
          <w:szCs w:val="24"/>
        </w:rPr>
        <w:t xml:space="preserve">zu Nachhaltigkeitsfragen wird berücksichtigt. </w:t>
      </w:r>
      <w:r w:rsidRPr="00906EDA">
        <w:t>Auf dieser Basis schätzt das Präsidium ein, welche externen Kandidaten oder Mitarbeiter des Unternehmens für zu besetzende Vorstandspositionen in</w:t>
      </w:r>
      <w:r w:rsidR="00BF7C39">
        <w:t>f</w:t>
      </w:r>
      <w:r w:rsidRPr="00906EDA">
        <w:t>rage kommen. Nachdem das Präsidium Gespräche mit</w:t>
      </w:r>
      <w:r w:rsidR="00675099" w:rsidRPr="00906EDA">
        <w:t xml:space="preserve"> den Kandidatinnen und</w:t>
      </w:r>
      <w:r w:rsidRPr="00906EDA">
        <w:t xml:space="preserve"> Kandidaten geführt hat, unterbreitet es dem Aufsichtsrat eine Empfehlung zur Beschlussfassung. Bei Bedarf werden der Aufsichtsrat bzw. der Präsidialausschuss bei der Entwicklung der Anforderungsprofile und/oder der Auswahl </w:t>
      </w:r>
      <w:r w:rsidR="00675099" w:rsidRPr="00906EDA">
        <w:t>geeigneter Personen</w:t>
      </w:r>
      <w:r w:rsidRPr="00906EDA">
        <w:t xml:space="preserve"> von externen Beratern unterstützt.</w:t>
      </w:r>
    </w:p>
    <w:p w14:paraId="106C6F45" w14:textId="77777777" w:rsidR="00184320" w:rsidRPr="00906EDA" w:rsidRDefault="00184320" w:rsidP="00B37DDF">
      <w:pPr>
        <w:spacing w:line="320" w:lineRule="exact"/>
        <w:ind w:right="1417"/>
        <w:jc w:val="both"/>
      </w:pPr>
    </w:p>
    <w:bookmarkEnd w:id="7"/>
    <w:p w14:paraId="4CD23B46" w14:textId="77777777" w:rsidR="00CA1010" w:rsidRPr="00906EDA" w:rsidRDefault="00040A83" w:rsidP="00390DD1">
      <w:pPr>
        <w:pStyle w:val="berschrift2"/>
        <w:keepNext/>
        <w:ind w:right="1701"/>
      </w:pPr>
      <w:r w:rsidRPr="00906EDA">
        <w:t>Aufsichtsrat</w:t>
      </w:r>
    </w:p>
    <w:p w14:paraId="5815B276" w14:textId="4961416C" w:rsidR="00B30032" w:rsidRPr="00906EDA" w:rsidRDefault="00040A83" w:rsidP="00B37DDF">
      <w:pPr>
        <w:spacing w:line="320" w:lineRule="exact"/>
        <w:ind w:right="1700"/>
        <w:jc w:val="both"/>
        <w:rPr>
          <w:szCs w:val="24"/>
        </w:rPr>
      </w:pPr>
      <w:r w:rsidRPr="00906EDA">
        <w:rPr>
          <w:szCs w:val="24"/>
        </w:rPr>
        <w:t xml:space="preserve">Der Aufsichtsrat bestellt, überwacht und berät den Vorstand und ist in Entscheidungen von grundlegender Bedeutung für das Unternehmen unmittelbar eingebunden. Der Aufsichtsrat übt seine Tätigkeit nach Maßgabe der gesetzlichen </w:t>
      </w:r>
      <w:r w:rsidRPr="00906EDA">
        <w:rPr>
          <w:szCs w:val="24"/>
        </w:rPr>
        <w:lastRenderedPageBreak/>
        <w:t xml:space="preserve">Bestimmungen, der Satzung, seiner Geschäftsordnung und seiner Beschlüsse aus. Er besteht aus </w:t>
      </w:r>
      <w:r w:rsidR="00BF7C39">
        <w:rPr>
          <w:szCs w:val="24"/>
        </w:rPr>
        <w:t>6</w:t>
      </w:r>
      <w:r w:rsidR="00BF7C39" w:rsidRPr="00906EDA">
        <w:rPr>
          <w:szCs w:val="24"/>
        </w:rPr>
        <w:t xml:space="preserve"> </w:t>
      </w:r>
      <w:r w:rsidRPr="00906EDA">
        <w:rPr>
          <w:szCs w:val="24"/>
        </w:rPr>
        <w:t xml:space="preserve">Mitgliedern, die alle Vertreter der Anteilseigner sind. Der Aufsichtsratsvorsitzende leitet die Sitzungen und koordiniert die Kommunikation. Die Mitglieder des Aufsichtsrats haben grundsätzlich </w:t>
      </w:r>
      <w:r w:rsidR="00675099" w:rsidRPr="00906EDA">
        <w:rPr>
          <w:szCs w:val="24"/>
        </w:rPr>
        <w:t xml:space="preserve">die </w:t>
      </w:r>
      <w:r w:rsidRPr="00906EDA">
        <w:rPr>
          <w:szCs w:val="24"/>
        </w:rPr>
        <w:t>gleiche</w:t>
      </w:r>
      <w:r w:rsidR="00675099" w:rsidRPr="00906EDA">
        <w:rPr>
          <w:szCs w:val="24"/>
        </w:rPr>
        <w:t>n</w:t>
      </w:r>
      <w:r w:rsidRPr="00906EDA">
        <w:rPr>
          <w:szCs w:val="24"/>
        </w:rPr>
        <w:t xml:space="preserve"> Rechte und Pflichten. Beschlüsse des Aufsichtsrats werden vor allem in den Aufsichtsratssitzungen, bei Bedarf aber auch im schriftlichen Verfahren oder im Wege sonstiger Kommunikation gefasst. Jährlich finden mindestens </w:t>
      </w:r>
      <w:r w:rsidR="000857E5">
        <w:rPr>
          <w:szCs w:val="24"/>
        </w:rPr>
        <w:t>4</w:t>
      </w:r>
      <w:r w:rsidR="000857E5" w:rsidRPr="00906EDA">
        <w:rPr>
          <w:szCs w:val="24"/>
        </w:rPr>
        <w:t xml:space="preserve"> </w:t>
      </w:r>
      <w:r w:rsidRPr="00906EDA">
        <w:rPr>
          <w:szCs w:val="24"/>
        </w:rPr>
        <w:t xml:space="preserve">Sitzungen statt; im </w:t>
      </w:r>
      <w:r w:rsidR="00D7007E" w:rsidRPr="00906EDA">
        <w:rPr>
          <w:szCs w:val="24"/>
        </w:rPr>
        <w:t>Geschäftsjahr 2025</w:t>
      </w:r>
      <w:r w:rsidRPr="00906EDA">
        <w:rPr>
          <w:szCs w:val="24"/>
        </w:rPr>
        <w:t xml:space="preserve"> hat der Aufsichtsrat</w:t>
      </w:r>
      <w:r w:rsidR="00AC027B" w:rsidRPr="00906EDA">
        <w:rPr>
          <w:szCs w:val="24"/>
        </w:rPr>
        <w:t xml:space="preserve"> </w:t>
      </w:r>
      <w:r w:rsidR="000857E5">
        <w:rPr>
          <w:szCs w:val="24"/>
        </w:rPr>
        <w:t>8-</w:t>
      </w:r>
      <w:r w:rsidR="00D7007E" w:rsidRPr="00906EDA">
        <w:rPr>
          <w:szCs w:val="24"/>
        </w:rPr>
        <w:t>mal</w:t>
      </w:r>
      <w:r w:rsidR="00BF315C" w:rsidRPr="00906EDA">
        <w:rPr>
          <w:szCs w:val="24"/>
        </w:rPr>
        <w:t xml:space="preserve"> </w:t>
      </w:r>
      <w:r w:rsidRPr="00906EDA">
        <w:rPr>
          <w:szCs w:val="24"/>
        </w:rPr>
        <w:t>getagt</w:t>
      </w:r>
      <w:r w:rsidR="00EB3CDC" w:rsidRPr="00906EDA">
        <w:rPr>
          <w:szCs w:val="24"/>
        </w:rPr>
        <w:t xml:space="preserve">. </w:t>
      </w:r>
      <w:r w:rsidRPr="00906EDA">
        <w:rPr>
          <w:szCs w:val="24"/>
        </w:rPr>
        <w:t xml:space="preserve">Der Aufsichtsrat erteilt dem von der Hauptversammlung gewählten Abschlussprüfer den Prüfungsauftrag für den Jahresabschluss und den Konzernabschluss, bestimmt Prüfungsschwerpunkte und trifft mit </w:t>
      </w:r>
      <w:r w:rsidR="00675099" w:rsidRPr="00906EDA">
        <w:rPr>
          <w:szCs w:val="24"/>
        </w:rPr>
        <w:t>dem Prüfer</w:t>
      </w:r>
      <w:r w:rsidRPr="00906EDA">
        <w:rPr>
          <w:szCs w:val="24"/>
        </w:rPr>
        <w:t xml:space="preserve"> die Honorarvereinbarung. Der Aufsichtsratsvorsitzende koordiniert die Arbeit des Aufsichtsrats.</w:t>
      </w:r>
    </w:p>
    <w:p w14:paraId="536C504D" w14:textId="77777777" w:rsidR="00B30032" w:rsidRPr="00906EDA" w:rsidRDefault="00B30032" w:rsidP="00B37DDF">
      <w:pPr>
        <w:spacing w:line="320" w:lineRule="exact"/>
        <w:ind w:right="1700"/>
        <w:jc w:val="both"/>
        <w:rPr>
          <w:szCs w:val="24"/>
        </w:rPr>
      </w:pPr>
    </w:p>
    <w:p w14:paraId="566286F4" w14:textId="0E3BA9B2" w:rsidR="00007000" w:rsidRPr="00906EDA" w:rsidRDefault="00040A83" w:rsidP="00B37DDF">
      <w:pPr>
        <w:spacing w:line="320" w:lineRule="exact"/>
        <w:ind w:right="1700"/>
        <w:jc w:val="both"/>
        <w:rPr>
          <w:szCs w:val="24"/>
        </w:rPr>
      </w:pPr>
      <w:r w:rsidRPr="00906EDA">
        <w:rPr>
          <w:szCs w:val="24"/>
        </w:rPr>
        <w:t xml:space="preserve">Dem Aufsichtsrat der Deutschen Beteiligungs AG gehören Mitglieder an, die über Sachverstand auf dem Gebiet Rechnungslegung und dem Gebiet Abschlussprüfung im Sinne des Deutschen Corporate Governance Kodex verfügen. </w:t>
      </w:r>
    </w:p>
    <w:p w14:paraId="5C40368B" w14:textId="77777777" w:rsidR="00007000" w:rsidRPr="00906EDA" w:rsidRDefault="00007000" w:rsidP="00B37DDF">
      <w:pPr>
        <w:spacing w:line="320" w:lineRule="exact"/>
        <w:ind w:right="1700"/>
        <w:jc w:val="both"/>
        <w:rPr>
          <w:szCs w:val="24"/>
        </w:rPr>
      </w:pPr>
    </w:p>
    <w:p w14:paraId="1780DA99" w14:textId="5702E282" w:rsidR="00552E0C" w:rsidRPr="00906EDA" w:rsidRDefault="000857E5" w:rsidP="00552E0C">
      <w:pPr>
        <w:spacing w:line="320" w:lineRule="exact"/>
        <w:ind w:right="1700"/>
        <w:jc w:val="both"/>
        <w:rPr>
          <w:szCs w:val="24"/>
        </w:rPr>
      </w:pPr>
      <w:r>
        <w:rPr>
          <w:szCs w:val="24"/>
        </w:rPr>
        <w:t xml:space="preserve">Herr </w:t>
      </w:r>
      <w:r w:rsidR="00552E0C" w:rsidRPr="00906EDA">
        <w:rPr>
          <w:szCs w:val="24"/>
        </w:rPr>
        <w:t xml:space="preserve">Prof. Dr. Kai C. Andrejewski ist der unabhängige Vorsitzende des Prüfungsausschusses. Er ist </w:t>
      </w:r>
      <w:r w:rsidR="00D402FF" w:rsidRPr="00906EDA">
        <w:rPr>
          <w:szCs w:val="24"/>
        </w:rPr>
        <w:t xml:space="preserve">Senior Partner bei der Agora Strategy Group AG und </w:t>
      </w:r>
      <w:r w:rsidR="007A070F" w:rsidRPr="00906EDA">
        <w:rPr>
          <w:szCs w:val="24"/>
        </w:rPr>
        <w:t xml:space="preserve">Professor für Accounting und Auditing an der Privaten Fachhochschule Göttingen. Von 2021 bis 2024 war er </w:t>
      </w:r>
      <w:r w:rsidR="00552E0C" w:rsidRPr="00906EDA">
        <w:rPr>
          <w:szCs w:val="24"/>
        </w:rPr>
        <w:t>Vorstand Finanzen/Chief Financial Officer (CFO) der Sixt SE</w:t>
      </w:r>
      <w:r w:rsidR="007A070F" w:rsidRPr="00906EDA">
        <w:rPr>
          <w:szCs w:val="24"/>
        </w:rPr>
        <w:t>,</w:t>
      </w:r>
      <w:r w:rsidR="00552E0C" w:rsidRPr="00906EDA">
        <w:rPr>
          <w:szCs w:val="24"/>
        </w:rPr>
        <w:t xml:space="preserve"> von 2002 bis 2021 Partner sowie zuletzt als Regionalvorstand/Managing Partner Region Süd für die internationale Wirtschaftsprüfungsgesellschaft KPMG. Als Managing Partner betreute er namhafte und global tätige DAX- und MDAX-Unternehmen. </w:t>
      </w:r>
      <w:r w:rsidR="00174ABC">
        <w:rPr>
          <w:szCs w:val="24"/>
        </w:rPr>
        <w:t xml:space="preserve">Herr </w:t>
      </w:r>
      <w:r w:rsidR="00552E0C" w:rsidRPr="00906EDA">
        <w:rPr>
          <w:szCs w:val="24"/>
        </w:rPr>
        <w:t>Prof. Dr. Kai C. Andrejewski verfügt damit über Sachverstand auf den Gebieten Rechnungslegung und Abschlussprüfung.</w:t>
      </w:r>
    </w:p>
    <w:p w14:paraId="1B23E11F" w14:textId="6BBB1FA1" w:rsidR="00AF21C7" w:rsidRPr="00906EDA" w:rsidRDefault="00AF21C7" w:rsidP="00552E0C">
      <w:pPr>
        <w:spacing w:line="320" w:lineRule="exact"/>
        <w:ind w:right="1700"/>
        <w:jc w:val="both"/>
        <w:rPr>
          <w:szCs w:val="24"/>
        </w:rPr>
      </w:pPr>
    </w:p>
    <w:p w14:paraId="04B951B6" w14:textId="35CDABD4" w:rsidR="00AF21C7" w:rsidRPr="00906EDA" w:rsidRDefault="00AF21C7" w:rsidP="00552E0C">
      <w:pPr>
        <w:spacing w:line="320" w:lineRule="exact"/>
        <w:ind w:right="1700"/>
        <w:jc w:val="both"/>
        <w:rPr>
          <w:szCs w:val="24"/>
        </w:rPr>
      </w:pPr>
      <w:r w:rsidRPr="00906EDA">
        <w:rPr>
          <w:szCs w:val="24"/>
        </w:rPr>
        <w:t xml:space="preserve">Frau </w:t>
      </w:r>
      <w:r w:rsidR="003D68EA" w:rsidRPr="00906EDA">
        <w:rPr>
          <w:szCs w:val="24"/>
        </w:rPr>
        <w:t>Dr. Kathrin Köhling</w:t>
      </w:r>
      <w:r w:rsidRPr="00906EDA">
        <w:rPr>
          <w:szCs w:val="24"/>
        </w:rPr>
        <w:t xml:space="preserve">, die stellvertretende Vorsitzende des Prüfungsausschusses, </w:t>
      </w:r>
      <w:r w:rsidR="003D68EA" w:rsidRPr="00906EDA">
        <w:rPr>
          <w:szCs w:val="24"/>
        </w:rPr>
        <w:t>ist Finanzvorstand der LEG Immobilien SE</w:t>
      </w:r>
      <w:r w:rsidRPr="00906EDA">
        <w:rPr>
          <w:szCs w:val="24"/>
        </w:rPr>
        <w:t xml:space="preserve"> und besitzt damit ebenfalls Sachverstand auf den Gebieten Rechnungslegung und Abschlussprüfung. </w:t>
      </w:r>
    </w:p>
    <w:p w14:paraId="1D9265B6" w14:textId="77777777" w:rsidR="00552E0C" w:rsidRPr="00906EDA" w:rsidRDefault="00552E0C" w:rsidP="009A70DC">
      <w:pPr>
        <w:spacing w:line="320" w:lineRule="exact"/>
        <w:ind w:right="1700"/>
        <w:jc w:val="both"/>
        <w:rPr>
          <w:szCs w:val="24"/>
        </w:rPr>
      </w:pPr>
    </w:p>
    <w:p w14:paraId="0058430F" w14:textId="77777777" w:rsidR="00F50DAB" w:rsidRPr="00906EDA" w:rsidRDefault="00CF757B" w:rsidP="009A70DC">
      <w:pPr>
        <w:spacing w:line="320" w:lineRule="exact"/>
        <w:ind w:right="1700"/>
        <w:jc w:val="both"/>
        <w:rPr>
          <w:szCs w:val="24"/>
        </w:rPr>
      </w:pPr>
      <w:r w:rsidRPr="00906EDA">
        <w:rPr>
          <w:szCs w:val="24"/>
        </w:rPr>
        <w:t xml:space="preserve">Herr Dr. Jörg Wulfken </w:t>
      </w:r>
      <w:r w:rsidR="00552E0C" w:rsidRPr="00906EDA">
        <w:rPr>
          <w:szCs w:val="24"/>
        </w:rPr>
        <w:t>w</w:t>
      </w:r>
      <w:r w:rsidR="002C4D53" w:rsidRPr="00906EDA">
        <w:rPr>
          <w:szCs w:val="24"/>
        </w:rPr>
        <w:t xml:space="preserve">ar in den Jahren 2015 bis 2020 Partner bei PricewaterhouseCoopers </w:t>
      </w:r>
      <w:r w:rsidR="009A70DC" w:rsidRPr="00906EDA">
        <w:rPr>
          <w:szCs w:val="24"/>
        </w:rPr>
        <w:t xml:space="preserve">in Frankfurt </w:t>
      </w:r>
      <w:r w:rsidR="0032209A" w:rsidRPr="00906EDA">
        <w:rPr>
          <w:szCs w:val="24"/>
        </w:rPr>
        <w:t xml:space="preserve">am Main </w:t>
      </w:r>
      <w:r w:rsidR="009A70DC" w:rsidRPr="00906EDA">
        <w:rPr>
          <w:szCs w:val="24"/>
        </w:rPr>
        <w:t>und</w:t>
      </w:r>
      <w:r w:rsidR="002C4D53" w:rsidRPr="00906EDA">
        <w:rPr>
          <w:szCs w:val="24"/>
        </w:rPr>
        <w:t xml:space="preserve"> </w:t>
      </w:r>
      <w:r w:rsidR="00040A83" w:rsidRPr="00906EDA">
        <w:rPr>
          <w:szCs w:val="24"/>
        </w:rPr>
        <w:t xml:space="preserve">verfügt </w:t>
      </w:r>
      <w:r w:rsidR="0032209A" w:rsidRPr="00906EDA">
        <w:rPr>
          <w:szCs w:val="24"/>
        </w:rPr>
        <w:t xml:space="preserve">damit </w:t>
      </w:r>
      <w:r w:rsidR="00552E0C" w:rsidRPr="00906EDA">
        <w:rPr>
          <w:szCs w:val="24"/>
        </w:rPr>
        <w:t xml:space="preserve">ebenfalls </w:t>
      </w:r>
      <w:r w:rsidR="00040A83" w:rsidRPr="00906EDA">
        <w:rPr>
          <w:szCs w:val="24"/>
        </w:rPr>
        <w:t>über Sachverstand auf de</w:t>
      </w:r>
      <w:r w:rsidR="002C4D53" w:rsidRPr="00906EDA">
        <w:rPr>
          <w:szCs w:val="24"/>
        </w:rPr>
        <w:t>n</w:t>
      </w:r>
      <w:r w:rsidR="00040A83" w:rsidRPr="00906EDA">
        <w:rPr>
          <w:szCs w:val="24"/>
        </w:rPr>
        <w:t xml:space="preserve"> Gebiet</w:t>
      </w:r>
      <w:r w:rsidR="002C4D53" w:rsidRPr="00906EDA">
        <w:rPr>
          <w:szCs w:val="24"/>
        </w:rPr>
        <w:t>en</w:t>
      </w:r>
      <w:r w:rsidR="00040A83" w:rsidRPr="00906EDA">
        <w:rPr>
          <w:szCs w:val="24"/>
        </w:rPr>
        <w:t xml:space="preserve"> </w:t>
      </w:r>
      <w:r w:rsidR="002C4D53" w:rsidRPr="00906EDA">
        <w:rPr>
          <w:szCs w:val="24"/>
        </w:rPr>
        <w:t>Rechnungslegung und Abschlussprüfung</w:t>
      </w:r>
      <w:r w:rsidR="00040A83" w:rsidRPr="00906EDA">
        <w:rPr>
          <w:szCs w:val="24"/>
        </w:rPr>
        <w:t>.</w:t>
      </w:r>
      <w:r w:rsidR="002C4D53" w:rsidRPr="00906EDA">
        <w:rPr>
          <w:szCs w:val="24"/>
        </w:rPr>
        <w:t xml:space="preserve"> </w:t>
      </w:r>
    </w:p>
    <w:p w14:paraId="10233F3E" w14:textId="77777777" w:rsidR="00F50DAB" w:rsidRPr="00906EDA" w:rsidRDefault="00F50DAB" w:rsidP="009A70DC">
      <w:pPr>
        <w:spacing w:line="320" w:lineRule="exact"/>
        <w:ind w:right="1700"/>
        <w:jc w:val="both"/>
        <w:rPr>
          <w:szCs w:val="24"/>
        </w:rPr>
      </w:pPr>
    </w:p>
    <w:p w14:paraId="158D3E37" w14:textId="5768CA08" w:rsidR="00CA1010" w:rsidRPr="00906EDA" w:rsidRDefault="00040A83" w:rsidP="00BF315C">
      <w:pPr>
        <w:pStyle w:val="berschrift2"/>
        <w:keepNext/>
        <w:ind w:right="1701"/>
      </w:pPr>
      <w:r w:rsidRPr="00906EDA">
        <w:t>Zusammenarbeit von Vorstand und Aufsichtsrat</w:t>
      </w:r>
    </w:p>
    <w:p w14:paraId="5CD6613A" w14:textId="3317AD45" w:rsidR="00B30032" w:rsidRPr="00906EDA" w:rsidRDefault="00040A83" w:rsidP="00B37DDF">
      <w:pPr>
        <w:spacing w:line="320" w:lineRule="exact"/>
        <w:ind w:right="1700"/>
        <w:jc w:val="both"/>
        <w:rPr>
          <w:szCs w:val="24"/>
        </w:rPr>
      </w:pPr>
      <w:r w:rsidRPr="00906EDA">
        <w:rPr>
          <w:szCs w:val="24"/>
        </w:rPr>
        <w:t xml:space="preserve">Der Vorstand stimmt die strategische Ausrichtung des Unternehmens und des Konzerns mit dem Aufsichtsrat ab und erörtert mit ihm turnusmäßig den Stand der Umsetzung der Strategie. Außerdem unterrichtet der Vorstand den Aufsichtsrat regelmäßig schriftlich und mündlich unter anderem über den Gang der Geschäfte und die Lage des Unternehmens. </w:t>
      </w:r>
      <w:r w:rsidR="00675099" w:rsidRPr="00906EDA">
        <w:rPr>
          <w:szCs w:val="24"/>
        </w:rPr>
        <w:t xml:space="preserve">Beispielsweise </w:t>
      </w:r>
      <w:r w:rsidRPr="00906EDA">
        <w:rPr>
          <w:szCs w:val="24"/>
        </w:rPr>
        <w:t xml:space="preserve">erhält der Aufsichtsrat vierteljährlich vom Vorstand ausführliche Unterlagen zur wirtschaftlichen Entwicklung und zur aktuellen Situation der </w:t>
      </w:r>
      <w:r w:rsidR="00215127" w:rsidRPr="00906EDA">
        <w:rPr>
          <w:szCs w:val="24"/>
        </w:rPr>
        <w:t>Portfoliounternehmen und</w:t>
      </w:r>
      <w:r w:rsidRPr="00906EDA">
        <w:rPr>
          <w:szCs w:val="24"/>
        </w:rPr>
        <w:t xml:space="preserve"> einen </w:t>
      </w:r>
      <w:r w:rsidRPr="00906EDA">
        <w:rPr>
          <w:szCs w:val="24"/>
        </w:rPr>
        <w:lastRenderedPageBreak/>
        <w:t>Risikomanagementbericht, der sich mit den wichtigsten Risiken für das Geschäft der Deutschen Beteiligungs AG auseinandersetzt.</w:t>
      </w:r>
    </w:p>
    <w:p w14:paraId="275CD639" w14:textId="77777777" w:rsidR="00B30032" w:rsidRPr="00906EDA" w:rsidRDefault="00B30032" w:rsidP="00B37DDF">
      <w:pPr>
        <w:spacing w:line="320" w:lineRule="exact"/>
        <w:ind w:right="1700"/>
        <w:jc w:val="both"/>
        <w:rPr>
          <w:szCs w:val="24"/>
        </w:rPr>
      </w:pPr>
    </w:p>
    <w:p w14:paraId="2F930E9E" w14:textId="2E5EEC29" w:rsidR="00B30032" w:rsidRPr="00906EDA" w:rsidRDefault="00040A83" w:rsidP="00B37DDF">
      <w:pPr>
        <w:spacing w:line="320" w:lineRule="exact"/>
        <w:ind w:right="1700"/>
        <w:jc w:val="both"/>
        <w:rPr>
          <w:szCs w:val="24"/>
        </w:rPr>
      </w:pPr>
      <w:r w:rsidRPr="00906EDA">
        <w:rPr>
          <w:szCs w:val="24"/>
        </w:rPr>
        <w:t xml:space="preserve">Auf Grundlage insbesondere dieser Berichterstattung überwacht der Aufsichtsrat die Geschäftsführung des Vorstands. Die vom Aufsichtsrat erlassene Geschäftsordnung für den Vorstand benennt die Geschäfte und Handlungen, die der Zustimmung des Aufsichtsrats bedürfen. Dies gilt – wie oben bereits dargestellt – unter anderem für den Erwerb und die Veräußerung von Unternehmensbeteiligungen, die eine </w:t>
      </w:r>
      <w:r w:rsidR="00F308E7" w:rsidRPr="00906EDA">
        <w:rPr>
          <w:szCs w:val="24"/>
        </w:rPr>
        <w:t>definierte</w:t>
      </w:r>
      <w:r w:rsidRPr="00906EDA">
        <w:rPr>
          <w:szCs w:val="24"/>
        </w:rPr>
        <w:t xml:space="preserve"> Investitionshöhe überschreiten. Etwaige wesentliche Geschäfte mit einem Vorstandsmitglied nahestehenden Personen oder Unternehmungen werden nur mit Zustimmung des Aufsichtsrats vorgenommen.</w:t>
      </w:r>
    </w:p>
    <w:p w14:paraId="37A488EF" w14:textId="77777777" w:rsidR="00B30032" w:rsidRPr="00906EDA" w:rsidRDefault="00B30032" w:rsidP="00B37DDF">
      <w:pPr>
        <w:spacing w:line="320" w:lineRule="exact"/>
        <w:ind w:right="1700"/>
        <w:jc w:val="both"/>
        <w:rPr>
          <w:szCs w:val="24"/>
        </w:rPr>
      </w:pPr>
    </w:p>
    <w:p w14:paraId="31B8183A" w14:textId="77777777" w:rsidR="00CA1010" w:rsidRPr="00906EDA" w:rsidRDefault="00040A83" w:rsidP="00B37DDF">
      <w:pPr>
        <w:spacing w:line="320" w:lineRule="exact"/>
        <w:ind w:right="1700"/>
        <w:jc w:val="both"/>
        <w:rPr>
          <w:szCs w:val="24"/>
        </w:rPr>
      </w:pPr>
      <w:r w:rsidRPr="00906EDA">
        <w:rPr>
          <w:szCs w:val="24"/>
        </w:rPr>
        <w:t>Der Aufsichtsrat beschäftigt sich gemeinsam mit den Abschlussprüfern und auf Grundlage des von ihnen erstellten Prüfberichts mit dem Jahresabschluss, dem Konzernabschluss, dem zusammengefassten Lagebericht der Deutschen Beteiligungs AG und des Konzerns sowie dem Vorschlag des Vorstands für die Verwendung des Bilanzgewinns. Er nimmt die dafür gesetzlich vorgesehenen Prüfungen und Feststellungen vor.</w:t>
      </w:r>
    </w:p>
    <w:p w14:paraId="3E2601E1" w14:textId="6D660319" w:rsidR="00B30032" w:rsidRPr="00906EDA" w:rsidRDefault="00B30032" w:rsidP="00B37DDF">
      <w:pPr>
        <w:spacing w:line="320" w:lineRule="exact"/>
        <w:ind w:right="1700"/>
        <w:jc w:val="both"/>
        <w:rPr>
          <w:szCs w:val="24"/>
        </w:rPr>
      </w:pPr>
    </w:p>
    <w:p w14:paraId="296B5C96" w14:textId="77777777" w:rsidR="006772CC" w:rsidRPr="00906EDA" w:rsidRDefault="00040A83" w:rsidP="00B37DDF">
      <w:pPr>
        <w:pStyle w:val="berschrift2"/>
      </w:pPr>
      <w:r w:rsidRPr="00906EDA">
        <w:t>Ausschüsse des Aufsichtsrats</w:t>
      </w:r>
    </w:p>
    <w:p w14:paraId="5322F266" w14:textId="72B9FE5D" w:rsidR="00B30032" w:rsidRPr="00906EDA" w:rsidRDefault="00040A83" w:rsidP="00B37DDF">
      <w:pPr>
        <w:spacing w:line="320" w:lineRule="exact"/>
        <w:ind w:right="1700"/>
        <w:jc w:val="both"/>
        <w:rPr>
          <w:szCs w:val="24"/>
        </w:rPr>
      </w:pPr>
      <w:r w:rsidRPr="00906EDA">
        <w:rPr>
          <w:szCs w:val="24"/>
        </w:rPr>
        <w:t>Um die Effizienz seiner Tätigkeit zu erhöhen</w:t>
      </w:r>
      <w:r w:rsidR="000857E5">
        <w:rPr>
          <w:szCs w:val="24"/>
        </w:rPr>
        <w:t>,</w:t>
      </w:r>
      <w:r w:rsidRPr="00906EDA">
        <w:rPr>
          <w:szCs w:val="24"/>
        </w:rPr>
        <w:t xml:space="preserve"> </w:t>
      </w:r>
      <w:r w:rsidR="00107D4F" w:rsidRPr="00906EDA">
        <w:rPr>
          <w:szCs w:val="24"/>
        </w:rPr>
        <w:t>hat der Aufsichtsrat ein</w:t>
      </w:r>
      <w:r w:rsidR="00FA159F" w:rsidRPr="00906EDA">
        <w:rPr>
          <w:szCs w:val="24"/>
        </w:rPr>
        <w:t>en</w:t>
      </w:r>
      <w:r w:rsidR="00107D4F" w:rsidRPr="00906EDA">
        <w:rPr>
          <w:szCs w:val="24"/>
        </w:rPr>
        <w:t xml:space="preserve"> Präsidi</w:t>
      </w:r>
      <w:r w:rsidR="00FA159F" w:rsidRPr="00906EDA">
        <w:rPr>
          <w:szCs w:val="24"/>
        </w:rPr>
        <w:t>alausschuss</w:t>
      </w:r>
      <w:r w:rsidR="00107D4F" w:rsidRPr="00906EDA">
        <w:rPr>
          <w:szCs w:val="24"/>
        </w:rPr>
        <w:t>, d</w:t>
      </w:r>
      <w:r w:rsidR="00FA159F" w:rsidRPr="00906EDA">
        <w:rPr>
          <w:szCs w:val="24"/>
        </w:rPr>
        <w:t>er</w:t>
      </w:r>
      <w:r w:rsidR="00107D4F" w:rsidRPr="00906EDA">
        <w:rPr>
          <w:szCs w:val="24"/>
        </w:rPr>
        <w:t xml:space="preserve"> auch die Aufgaben eines Nominierungsausschusses erfüllt, sowie einen Prüfungsausschuss eingerichtet</w:t>
      </w:r>
      <w:r w:rsidR="007A79E4" w:rsidRPr="00906EDA">
        <w:rPr>
          <w:szCs w:val="24"/>
        </w:rPr>
        <w:t>.</w:t>
      </w:r>
    </w:p>
    <w:p w14:paraId="7EBA0ED7" w14:textId="77777777" w:rsidR="00B30032" w:rsidRPr="00906EDA" w:rsidRDefault="00B30032" w:rsidP="00B37DDF">
      <w:pPr>
        <w:spacing w:line="320" w:lineRule="exact"/>
        <w:ind w:right="1700"/>
        <w:jc w:val="both"/>
        <w:rPr>
          <w:szCs w:val="24"/>
        </w:rPr>
      </w:pPr>
    </w:p>
    <w:p w14:paraId="540ADF56" w14:textId="4D4FAD6F" w:rsidR="00CB6BED" w:rsidRPr="00906EDA" w:rsidRDefault="00040A83" w:rsidP="00B37DDF">
      <w:pPr>
        <w:spacing w:line="320" w:lineRule="exact"/>
        <w:ind w:right="1700"/>
        <w:jc w:val="both"/>
      </w:pPr>
      <w:r w:rsidRPr="00906EDA">
        <w:rPr>
          <w:szCs w:val="24"/>
        </w:rPr>
        <w:t>Vorsitzender des Präsidi</w:t>
      </w:r>
      <w:r w:rsidR="00FA159F" w:rsidRPr="00906EDA">
        <w:rPr>
          <w:szCs w:val="24"/>
        </w:rPr>
        <w:t>alausschusses</w:t>
      </w:r>
      <w:r w:rsidRPr="00906EDA">
        <w:rPr>
          <w:szCs w:val="24"/>
        </w:rPr>
        <w:t xml:space="preserve"> ist der </w:t>
      </w:r>
      <w:r w:rsidR="00D22B66" w:rsidRPr="00906EDA">
        <w:rPr>
          <w:szCs w:val="24"/>
        </w:rPr>
        <w:t>Aufsichtsratsvorsitzende</w:t>
      </w:r>
      <w:r w:rsidR="00F308E7" w:rsidRPr="00906EDA">
        <w:rPr>
          <w:szCs w:val="24"/>
        </w:rPr>
        <w:t xml:space="preserve"> Herr </w:t>
      </w:r>
      <w:r w:rsidR="00F308E7" w:rsidRPr="00906EDA">
        <w:t>Dr.</w:t>
      </w:r>
      <w:r w:rsidR="00980A83" w:rsidRPr="00906EDA">
        <w:t> </w:t>
      </w:r>
      <w:r w:rsidR="00F308E7" w:rsidRPr="00906EDA">
        <w:t>Hendrik Otto</w:t>
      </w:r>
      <w:r w:rsidR="00D22B66" w:rsidRPr="00906EDA">
        <w:rPr>
          <w:szCs w:val="24"/>
        </w:rPr>
        <w:t>.</w:t>
      </w:r>
      <w:r w:rsidR="00107D4F" w:rsidRPr="00906EDA">
        <w:rPr>
          <w:szCs w:val="24"/>
        </w:rPr>
        <w:t xml:space="preserve"> </w:t>
      </w:r>
      <w:r w:rsidR="00D22B66" w:rsidRPr="00906EDA">
        <w:t>Weitere Mitglieder des Präsidi</w:t>
      </w:r>
      <w:r w:rsidR="00FA159F" w:rsidRPr="00906EDA">
        <w:t>alaus</w:t>
      </w:r>
      <w:r w:rsidR="00CF757B" w:rsidRPr="00906EDA">
        <w:t>s</w:t>
      </w:r>
      <w:r w:rsidR="00FA159F" w:rsidRPr="00906EDA">
        <w:t>chusses</w:t>
      </w:r>
      <w:r w:rsidR="00D22B66" w:rsidRPr="00906EDA">
        <w:t xml:space="preserve"> </w:t>
      </w:r>
      <w:r w:rsidR="00823A10" w:rsidRPr="00906EDA">
        <w:t xml:space="preserve">sind </w:t>
      </w:r>
      <w:r w:rsidR="00D22B66" w:rsidRPr="00906EDA">
        <w:t>Herr</w:t>
      </w:r>
      <w:r w:rsidR="00215127" w:rsidRPr="00906EDA">
        <w:t xml:space="preserve"> </w:t>
      </w:r>
      <w:r w:rsidR="00823A10" w:rsidRPr="00906EDA">
        <w:rPr>
          <w:szCs w:val="24"/>
        </w:rPr>
        <w:t xml:space="preserve">Prof. Dr. Kai C. Andrejewski </w:t>
      </w:r>
      <w:r w:rsidR="00D22B66" w:rsidRPr="00906EDA">
        <w:t>und Herr Dr. Jörg Wulfken.</w:t>
      </w:r>
      <w:r w:rsidR="00584151" w:rsidRPr="00906EDA">
        <w:t xml:space="preserve"> </w:t>
      </w:r>
      <w:r w:rsidR="00107D4F" w:rsidRPr="00906EDA">
        <w:rPr>
          <w:szCs w:val="24"/>
        </w:rPr>
        <w:t>Zu den Aufgaben des Präsidi</w:t>
      </w:r>
      <w:r w:rsidR="00FA159F" w:rsidRPr="00906EDA">
        <w:rPr>
          <w:szCs w:val="24"/>
        </w:rPr>
        <w:t>alausschusses</w:t>
      </w:r>
      <w:r w:rsidR="00107D4F" w:rsidRPr="00906EDA">
        <w:rPr>
          <w:szCs w:val="24"/>
        </w:rPr>
        <w:t xml:space="preserve"> zählen insbesondere die Regelungen der Personalangelegenheiten des Vorstands, soweit diese nicht nach dem Aktiengesetz und dem Deutschen Corporate Governance Kodex vom Gesamtaufsichtsrat zu regeln sind. </w:t>
      </w:r>
      <w:r w:rsidR="00107D4F" w:rsidRPr="00906EDA">
        <w:t>Die Mitglieder des Präsidi</w:t>
      </w:r>
      <w:r w:rsidR="00FA159F" w:rsidRPr="00906EDA">
        <w:t>alausschusses</w:t>
      </w:r>
      <w:r w:rsidR="00107D4F" w:rsidRPr="00906EDA">
        <w:t xml:space="preserve"> sind auch Mitglieder des Nominierungsausschusses.</w:t>
      </w:r>
    </w:p>
    <w:p w14:paraId="28508690" w14:textId="77777777" w:rsidR="00CB6BED" w:rsidRPr="00906EDA" w:rsidRDefault="00CB6BED" w:rsidP="00B37DDF">
      <w:pPr>
        <w:spacing w:line="320" w:lineRule="exact"/>
        <w:ind w:right="1700"/>
        <w:jc w:val="both"/>
      </w:pPr>
    </w:p>
    <w:p w14:paraId="7C6F7ED4" w14:textId="6797B41D" w:rsidR="00B30032" w:rsidRPr="00906EDA" w:rsidRDefault="00040A83" w:rsidP="00B37DDF">
      <w:pPr>
        <w:spacing w:line="320" w:lineRule="exact"/>
        <w:ind w:right="1700"/>
        <w:jc w:val="both"/>
      </w:pPr>
      <w:r w:rsidRPr="00906EDA">
        <w:t xml:space="preserve">Vorsitzender des Prüfungsausschusses </w:t>
      </w:r>
      <w:r w:rsidR="00D22B66" w:rsidRPr="00906EDA">
        <w:t xml:space="preserve">ist Herr </w:t>
      </w:r>
      <w:r w:rsidR="00823A10" w:rsidRPr="00906EDA">
        <w:rPr>
          <w:szCs w:val="24"/>
        </w:rPr>
        <w:t>Prof. Dr. Kai C. Andrejewski</w:t>
      </w:r>
      <w:r w:rsidRPr="00906EDA">
        <w:t xml:space="preserve">; weitere Mitglieder dieses Ausschusses </w:t>
      </w:r>
      <w:r w:rsidR="00D7007E" w:rsidRPr="00906EDA">
        <w:t>sind</w:t>
      </w:r>
      <w:r w:rsidR="00823A10" w:rsidRPr="00906EDA">
        <w:t xml:space="preserve"> </w:t>
      </w:r>
      <w:r w:rsidRPr="00906EDA">
        <w:t xml:space="preserve">Frau </w:t>
      </w:r>
      <w:r w:rsidR="003D68EA" w:rsidRPr="00906EDA">
        <w:t>Dr. Kathrin Köhling</w:t>
      </w:r>
      <w:r w:rsidRPr="00906EDA">
        <w:t xml:space="preserve"> sowie</w:t>
      </w:r>
      <w:r w:rsidR="00D22B66" w:rsidRPr="00906EDA">
        <w:t xml:space="preserve"> </w:t>
      </w:r>
      <w:r w:rsidR="00F308E7" w:rsidRPr="00906EDA">
        <w:t>Herr Dr. Hendrik Otto</w:t>
      </w:r>
      <w:r w:rsidR="00DE27F3" w:rsidRPr="00906EDA">
        <w:t>.</w:t>
      </w:r>
      <w:r w:rsidR="00CB6BED" w:rsidRPr="00906EDA">
        <w:t xml:space="preserve"> Der Prüfungsausschuss überwacht den</w:t>
      </w:r>
      <w:r w:rsidR="00D7007E" w:rsidRPr="00906EDA">
        <w:t xml:space="preserve"> </w:t>
      </w:r>
      <w:r w:rsidR="00CB6BED" w:rsidRPr="00906EDA">
        <w:t>Rechnungslegungsprozess,</w:t>
      </w:r>
      <w:r w:rsidR="00D7007E" w:rsidRPr="00906EDA">
        <w:t xml:space="preserve"> </w:t>
      </w:r>
      <w:r w:rsidR="00CB6BED" w:rsidRPr="00906EDA">
        <w:t>die Wirksamkeit des internen Kontrollsystems, des Risikomanagementsystems und des internen Revisionssystems sowie d</w:t>
      </w:r>
      <w:r w:rsidR="00670B53" w:rsidRPr="00906EDA">
        <w:t>ie</w:t>
      </w:r>
      <w:r w:rsidR="00CB6BED" w:rsidRPr="00906EDA">
        <w:t xml:space="preserve"> Abschlussprüfung</w:t>
      </w:r>
      <w:r w:rsidR="00E13848" w:rsidRPr="00906EDA">
        <w:t xml:space="preserve">. </w:t>
      </w:r>
      <w:r w:rsidR="00EB3CDC" w:rsidRPr="00906EDA">
        <w:t xml:space="preserve">Der Ausschuss diskutiert mit dem Abschlussprüfer die Einschätzung des Prüfungsrisikos, die Prüfungsstrategie und Prüfungsplanung sowie die Prüfungsergebnisse. </w:t>
      </w:r>
      <w:r w:rsidR="00670B53" w:rsidRPr="00906EDA">
        <w:t xml:space="preserve">Er befasst sich </w:t>
      </w:r>
      <w:r w:rsidR="00EB3CDC" w:rsidRPr="00906EDA">
        <w:t xml:space="preserve">weiter </w:t>
      </w:r>
      <w:r w:rsidR="00670B53" w:rsidRPr="00906EDA">
        <w:t xml:space="preserve">mit </w:t>
      </w:r>
      <w:r w:rsidR="00CB6BED" w:rsidRPr="00906EDA">
        <w:t>der Auswahl und der Unabhängigkeit des Abschlussprüfers, der Qualität der Abschlussprüfung und de</w:t>
      </w:r>
      <w:r w:rsidR="00670B53" w:rsidRPr="00906EDA">
        <w:t>n</w:t>
      </w:r>
      <w:r w:rsidR="00CB6BED" w:rsidRPr="00906EDA">
        <w:t xml:space="preserve"> vom Abschlussprüfer zusätzlich erbrachten Leistungen</w:t>
      </w:r>
      <w:r w:rsidR="00670B53" w:rsidRPr="00906EDA">
        <w:t xml:space="preserve">. Der Prüfungsausschuss kann unmittelbar bei den Leitern derjenigen Zentralbereiche der Gesellschaft, die </w:t>
      </w:r>
      <w:r w:rsidR="00215127" w:rsidRPr="00906EDA">
        <w:t>im Unternehmen</w:t>
      </w:r>
      <w:r w:rsidR="00670B53" w:rsidRPr="00906EDA">
        <w:t xml:space="preserve"> für die </w:t>
      </w:r>
      <w:r w:rsidR="00670B53" w:rsidRPr="00906EDA">
        <w:lastRenderedPageBreak/>
        <w:t>Aufgaben zuständig sind, die den Prüfungsausschuss betreffen, Auskünfte einholen.</w:t>
      </w:r>
    </w:p>
    <w:p w14:paraId="5002CFA1" w14:textId="77777777" w:rsidR="00DE27F3" w:rsidRPr="00906EDA" w:rsidRDefault="00DE27F3" w:rsidP="00B37DDF">
      <w:pPr>
        <w:spacing w:line="320" w:lineRule="exact"/>
        <w:ind w:right="1700"/>
        <w:jc w:val="both"/>
      </w:pPr>
    </w:p>
    <w:p w14:paraId="349CD18D" w14:textId="3592E49A" w:rsidR="003D1970" w:rsidRPr="00906EDA" w:rsidRDefault="00040A83" w:rsidP="00704DBA">
      <w:pPr>
        <w:pStyle w:val="Kopfzeile"/>
        <w:spacing w:line="320" w:lineRule="exact"/>
        <w:ind w:right="1700"/>
        <w:jc w:val="both"/>
        <w:sectPr w:rsidR="003D1970" w:rsidRPr="00906EDA" w:rsidSect="00BA7E5A">
          <w:pgSz w:w="11907" w:h="16840" w:code="9"/>
          <w:pgMar w:top="1418" w:right="1418" w:bottom="1134" w:left="1134" w:header="851" w:footer="720" w:gutter="0"/>
          <w:cols w:space="720"/>
          <w:titlePg/>
          <w:docGrid w:linePitch="326"/>
        </w:sectPr>
      </w:pPr>
      <w:r w:rsidRPr="00906EDA">
        <w:t>Die personelle Zusammensetzung des Vorstands und des Aufsichtsrats mit den Angaben nach § 285 Nr. 10 HGB findet sich im Anhang des Konzernabschlusses.</w:t>
      </w:r>
    </w:p>
    <w:tbl>
      <w:tblPr>
        <w:tblStyle w:val="Tabellenraster"/>
        <w:tblW w:w="0" w:type="auto"/>
        <w:tblLook w:val="04A0" w:firstRow="1" w:lastRow="0" w:firstColumn="1" w:lastColumn="0" w:noHBand="0" w:noVBand="1"/>
      </w:tblPr>
      <w:tblGrid>
        <w:gridCol w:w="1492"/>
        <w:gridCol w:w="3273"/>
        <w:gridCol w:w="812"/>
        <w:gridCol w:w="830"/>
        <w:gridCol w:w="1243"/>
        <w:gridCol w:w="1183"/>
        <w:gridCol w:w="2786"/>
        <w:gridCol w:w="2542"/>
      </w:tblGrid>
      <w:tr w:rsidR="00823A10" w:rsidRPr="00906EDA" w14:paraId="6FCA3EF2" w14:textId="2A9C9439" w:rsidTr="00BA7E5A">
        <w:tc>
          <w:tcPr>
            <w:tcW w:w="0" w:type="auto"/>
            <w:tcBorders>
              <w:top w:val="single" w:sz="4" w:space="0" w:color="auto"/>
              <w:left w:val="single" w:sz="4" w:space="0" w:color="auto"/>
              <w:bottom w:val="single" w:sz="4" w:space="0" w:color="auto"/>
              <w:right w:val="single" w:sz="4" w:space="0" w:color="auto"/>
            </w:tcBorders>
            <w:hideMark/>
          </w:tcPr>
          <w:p w14:paraId="31019587" w14:textId="77777777" w:rsidR="005D66B9" w:rsidRPr="00906EDA" w:rsidRDefault="00040A83" w:rsidP="00B37DDF">
            <w:pPr>
              <w:spacing w:line="320" w:lineRule="exact"/>
              <w:rPr>
                <w:b/>
                <w:bCs/>
                <w:sz w:val="14"/>
                <w:szCs w:val="14"/>
              </w:rPr>
            </w:pPr>
            <w:bookmarkStart w:id="8" w:name="_Hlk48224010"/>
            <w:r w:rsidRPr="00906EDA">
              <w:rPr>
                <w:b/>
                <w:bCs/>
                <w:sz w:val="14"/>
                <w:szCs w:val="14"/>
              </w:rPr>
              <w:lastRenderedPageBreak/>
              <w:t xml:space="preserve">Name </w:t>
            </w:r>
          </w:p>
        </w:tc>
        <w:tc>
          <w:tcPr>
            <w:tcW w:w="0" w:type="auto"/>
            <w:tcBorders>
              <w:top w:val="single" w:sz="4" w:space="0" w:color="auto"/>
              <w:left w:val="single" w:sz="4" w:space="0" w:color="auto"/>
              <w:bottom w:val="single" w:sz="4" w:space="0" w:color="auto"/>
              <w:right w:val="single" w:sz="4" w:space="0" w:color="auto"/>
            </w:tcBorders>
            <w:hideMark/>
          </w:tcPr>
          <w:p w14:paraId="24D23AC1" w14:textId="77777777" w:rsidR="005D66B9" w:rsidRPr="00906EDA" w:rsidRDefault="00040A83" w:rsidP="00B37DDF">
            <w:pPr>
              <w:spacing w:line="320" w:lineRule="exact"/>
              <w:rPr>
                <w:b/>
                <w:bCs/>
                <w:sz w:val="14"/>
                <w:szCs w:val="14"/>
              </w:rPr>
            </w:pPr>
            <w:r w:rsidRPr="00906EDA">
              <w:rPr>
                <w:b/>
                <w:bCs/>
                <w:sz w:val="14"/>
                <w:szCs w:val="14"/>
              </w:rPr>
              <w:t>Ausgeübter Beruf</w:t>
            </w:r>
          </w:p>
        </w:tc>
        <w:tc>
          <w:tcPr>
            <w:tcW w:w="0" w:type="auto"/>
            <w:tcBorders>
              <w:top w:val="single" w:sz="4" w:space="0" w:color="auto"/>
              <w:left w:val="single" w:sz="4" w:space="0" w:color="auto"/>
              <w:bottom w:val="single" w:sz="4" w:space="0" w:color="auto"/>
              <w:right w:val="single" w:sz="4" w:space="0" w:color="auto"/>
            </w:tcBorders>
            <w:hideMark/>
          </w:tcPr>
          <w:p w14:paraId="3024C85E" w14:textId="35E3C2C6" w:rsidR="005D66B9" w:rsidRPr="00906EDA" w:rsidRDefault="00040A83" w:rsidP="00B37DDF">
            <w:pPr>
              <w:spacing w:line="320" w:lineRule="exact"/>
              <w:rPr>
                <w:b/>
                <w:bCs/>
                <w:sz w:val="14"/>
                <w:szCs w:val="14"/>
              </w:rPr>
            </w:pPr>
            <w:r w:rsidRPr="00906EDA">
              <w:rPr>
                <w:b/>
                <w:bCs/>
                <w:sz w:val="14"/>
                <w:szCs w:val="14"/>
              </w:rPr>
              <w:t>Geburtsjahr</w:t>
            </w:r>
          </w:p>
        </w:tc>
        <w:tc>
          <w:tcPr>
            <w:tcW w:w="0" w:type="auto"/>
            <w:tcBorders>
              <w:top w:val="single" w:sz="4" w:space="0" w:color="auto"/>
              <w:left w:val="single" w:sz="4" w:space="0" w:color="auto"/>
              <w:bottom w:val="single" w:sz="4" w:space="0" w:color="auto"/>
              <w:right w:val="single" w:sz="4" w:space="0" w:color="auto"/>
            </w:tcBorders>
            <w:hideMark/>
          </w:tcPr>
          <w:p w14:paraId="0E279837" w14:textId="77777777" w:rsidR="005D66B9" w:rsidRPr="00906EDA" w:rsidRDefault="00040A83" w:rsidP="00B37DDF">
            <w:pPr>
              <w:spacing w:line="320" w:lineRule="exact"/>
              <w:rPr>
                <w:b/>
                <w:bCs/>
                <w:sz w:val="14"/>
                <w:szCs w:val="14"/>
              </w:rPr>
            </w:pPr>
            <w:r w:rsidRPr="00906EDA">
              <w:rPr>
                <w:b/>
                <w:bCs/>
                <w:sz w:val="14"/>
                <w:szCs w:val="14"/>
              </w:rPr>
              <w:t>Nationalität</w:t>
            </w:r>
          </w:p>
        </w:tc>
        <w:tc>
          <w:tcPr>
            <w:tcW w:w="1243" w:type="dxa"/>
            <w:tcBorders>
              <w:top w:val="single" w:sz="4" w:space="0" w:color="auto"/>
              <w:left w:val="single" w:sz="4" w:space="0" w:color="auto"/>
              <w:bottom w:val="single" w:sz="4" w:space="0" w:color="auto"/>
              <w:right w:val="single" w:sz="4" w:space="0" w:color="auto"/>
            </w:tcBorders>
            <w:hideMark/>
          </w:tcPr>
          <w:p w14:paraId="20073632" w14:textId="0719DE87" w:rsidR="005D66B9" w:rsidRPr="00906EDA" w:rsidRDefault="00040A83" w:rsidP="00B37DDF">
            <w:pPr>
              <w:spacing w:line="320" w:lineRule="exact"/>
              <w:rPr>
                <w:b/>
                <w:bCs/>
                <w:sz w:val="14"/>
                <w:szCs w:val="14"/>
              </w:rPr>
            </w:pPr>
            <w:r w:rsidRPr="00906EDA">
              <w:rPr>
                <w:b/>
                <w:bCs/>
                <w:sz w:val="14"/>
                <w:szCs w:val="14"/>
              </w:rPr>
              <w:t xml:space="preserve">Mitglied seit </w:t>
            </w:r>
          </w:p>
        </w:tc>
        <w:tc>
          <w:tcPr>
            <w:tcW w:w="1183" w:type="dxa"/>
            <w:tcBorders>
              <w:top w:val="single" w:sz="4" w:space="0" w:color="auto"/>
              <w:left w:val="single" w:sz="4" w:space="0" w:color="auto"/>
              <w:bottom w:val="single" w:sz="4" w:space="0" w:color="auto"/>
              <w:right w:val="single" w:sz="4" w:space="0" w:color="auto"/>
            </w:tcBorders>
            <w:hideMark/>
          </w:tcPr>
          <w:p w14:paraId="4FB6E931" w14:textId="77777777" w:rsidR="005D66B9" w:rsidRPr="00906EDA" w:rsidRDefault="00040A83" w:rsidP="00B37DDF">
            <w:pPr>
              <w:spacing w:line="320" w:lineRule="exact"/>
              <w:rPr>
                <w:b/>
                <w:bCs/>
                <w:sz w:val="14"/>
                <w:szCs w:val="14"/>
              </w:rPr>
            </w:pPr>
            <w:r w:rsidRPr="00906EDA">
              <w:rPr>
                <w:b/>
                <w:bCs/>
                <w:sz w:val="14"/>
                <w:szCs w:val="14"/>
              </w:rPr>
              <w:t>Bestellt bis zum Ablauf der HV</w:t>
            </w:r>
            <w:r w:rsidRPr="00906EDA">
              <w:rPr>
                <w:rStyle w:val="Funotenzeichen"/>
                <w:b/>
                <w:bCs/>
                <w:sz w:val="14"/>
                <w:szCs w:val="14"/>
              </w:rPr>
              <w:footnoteReference w:id="2"/>
            </w:r>
          </w:p>
        </w:tc>
        <w:tc>
          <w:tcPr>
            <w:tcW w:w="5328" w:type="dxa"/>
            <w:gridSpan w:val="2"/>
            <w:tcBorders>
              <w:top w:val="single" w:sz="4" w:space="0" w:color="auto"/>
              <w:left w:val="single" w:sz="4" w:space="0" w:color="auto"/>
              <w:bottom w:val="single" w:sz="4" w:space="0" w:color="auto"/>
              <w:right w:val="single" w:sz="4" w:space="0" w:color="auto"/>
            </w:tcBorders>
            <w:hideMark/>
          </w:tcPr>
          <w:p w14:paraId="10CE0E20" w14:textId="77777777" w:rsidR="004B671B" w:rsidRPr="00906EDA" w:rsidRDefault="00040A83" w:rsidP="00464C4A">
            <w:pPr>
              <w:spacing w:line="320" w:lineRule="exact"/>
              <w:rPr>
                <w:b/>
                <w:bCs/>
                <w:sz w:val="14"/>
                <w:szCs w:val="14"/>
              </w:rPr>
            </w:pPr>
            <w:r w:rsidRPr="00906EDA">
              <w:rPr>
                <w:b/>
                <w:bCs/>
                <w:sz w:val="14"/>
                <w:szCs w:val="14"/>
              </w:rPr>
              <w:t>Mitgliedschaft in gesetzlich zu bildenden Aufsichtsräten sowie in vergleichbaren in- oder ausländischen Kontrollgremien von Wirtschaftsunternehmen</w:t>
            </w:r>
          </w:p>
          <w:p w14:paraId="53EF0FBE" w14:textId="459DFA07" w:rsidR="005D66B9" w:rsidRPr="00906EDA" w:rsidRDefault="004B671B" w:rsidP="00464C4A">
            <w:pPr>
              <w:spacing w:line="320" w:lineRule="exact"/>
              <w:rPr>
                <w:b/>
                <w:bCs/>
                <w:sz w:val="14"/>
                <w:szCs w:val="14"/>
              </w:rPr>
            </w:pPr>
            <w:r w:rsidRPr="00906EDA">
              <w:rPr>
                <w:b/>
                <w:bCs/>
                <w:sz w:val="14"/>
                <w:szCs w:val="14"/>
              </w:rPr>
              <w:t xml:space="preserve">(Stand: </w:t>
            </w:r>
            <w:r w:rsidR="00F50DAB" w:rsidRPr="00906EDA">
              <w:rPr>
                <w:b/>
                <w:bCs/>
                <w:sz w:val="14"/>
                <w:szCs w:val="14"/>
              </w:rPr>
              <w:t>Februar 202</w:t>
            </w:r>
            <w:r w:rsidR="00651309" w:rsidRPr="00906EDA">
              <w:rPr>
                <w:b/>
                <w:bCs/>
                <w:sz w:val="14"/>
                <w:szCs w:val="14"/>
              </w:rPr>
              <w:t>6</w:t>
            </w:r>
            <w:r w:rsidRPr="00906EDA">
              <w:rPr>
                <w:b/>
                <w:bCs/>
                <w:sz w:val="14"/>
                <w:szCs w:val="14"/>
              </w:rPr>
              <w:t>)</w:t>
            </w:r>
          </w:p>
        </w:tc>
      </w:tr>
      <w:tr w:rsidR="00823A10" w:rsidRPr="00906EDA" w14:paraId="5AF4BE7F" w14:textId="77777777" w:rsidTr="00BA7E5A">
        <w:tc>
          <w:tcPr>
            <w:tcW w:w="0" w:type="auto"/>
            <w:tcBorders>
              <w:top w:val="single" w:sz="4" w:space="0" w:color="auto"/>
              <w:left w:val="single" w:sz="4" w:space="0" w:color="auto"/>
              <w:bottom w:val="single" w:sz="4" w:space="0" w:color="auto"/>
              <w:right w:val="single" w:sz="4" w:space="0" w:color="auto"/>
            </w:tcBorders>
          </w:tcPr>
          <w:p w14:paraId="44796227" w14:textId="77777777" w:rsidR="005D66B9" w:rsidRPr="00906EDA" w:rsidRDefault="005D66B9" w:rsidP="005D66B9">
            <w:pPr>
              <w:spacing w:line="320" w:lineRule="exact"/>
              <w:rPr>
                <w:b/>
                <w:bCs/>
                <w:sz w:val="14"/>
                <w:szCs w:val="14"/>
              </w:rPr>
            </w:pPr>
          </w:p>
        </w:tc>
        <w:tc>
          <w:tcPr>
            <w:tcW w:w="0" w:type="auto"/>
            <w:tcBorders>
              <w:top w:val="single" w:sz="4" w:space="0" w:color="auto"/>
              <w:left w:val="single" w:sz="4" w:space="0" w:color="auto"/>
              <w:bottom w:val="single" w:sz="4" w:space="0" w:color="auto"/>
              <w:right w:val="single" w:sz="4" w:space="0" w:color="auto"/>
            </w:tcBorders>
          </w:tcPr>
          <w:p w14:paraId="7FB75512" w14:textId="77777777" w:rsidR="005D66B9" w:rsidRPr="00906EDA" w:rsidRDefault="005D66B9" w:rsidP="005D66B9">
            <w:pPr>
              <w:spacing w:line="320" w:lineRule="exact"/>
              <w:rPr>
                <w:b/>
                <w:bCs/>
                <w:sz w:val="14"/>
                <w:szCs w:val="14"/>
              </w:rPr>
            </w:pPr>
          </w:p>
        </w:tc>
        <w:tc>
          <w:tcPr>
            <w:tcW w:w="0" w:type="auto"/>
            <w:tcBorders>
              <w:top w:val="single" w:sz="4" w:space="0" w:color="auto"/>
              <w:left w:val="single" w:sz="4" w:space="0" w:color="auto"/>
              <w:bottom w:val="single" w:sz="4" w:space="0" w:color="auto"/>
              <w:right w:val="single" w:sz="4" w:space="0" w:color="auto"/>
            </w:tcBorders>
          </w:tcPr>
          <w:p w14:paraId="37478AC0" w14:textId="77777777" w:rsidR="005D66B9" w:rsidRPr="00906EDA" w:rsidRDefault="005D66B9" w:rsidP="005D66B9">
            <w:pPr>
              <w:spacing w:line="320" w:lineRule="exact"/>
              <w:rPr>
                <w:b/>
                <w:bCs/>
                <w:sz w:val="14"/>
                <w:szCs w:val="14"/>
              </w:rPr>
            </w:pPr>
          </w:p>
        </w:tc>
        <w:tc>
          <w:tcPr>
            <w:tcW w:w="0" w:type="auto"/>
            <w:tcBorders>
              <w:top w:val="single" w:sz="4" w:space="0" w:color="auto"/>
              <w:left w:val="single" w:sz="4" w:space="0" w:color="auto"/>
              <w:bottom w:val="single" w:sz="4" w:space="0" w:color="auto"/>
              <w:right w:val="single" w:sz="4" w:space="0" w:color="auto"/>
            </w:tcBorders>
          </w:tcPr>
          <w:p w14:paraId="4EA2C14A" w14:textId="77777777" w:rsidR="005D66B9" w:rsidRPr="00906EDA" w:rsidRDefault="005D66B9" w:rsidP="005D66B9">
            <w:pPr>
              <w:spacing w:line="320" w:lineRule="exact"/>
              <w:rPr>
                <w:b/>
                <w:bCs/>
                <w:sz w:val="14"/>
                <w:szCs w:val="14"/>
              </w:rPr>
            </w:pPr>
          </w:p>
        </w:tc>
        <w:tc>
          <w:tcPr>
            <w:tcW w:w="1243" w:type="dxa"/>
            <w:tcBorders>
              <w:top w:val="single" w:sz="4" w:space="0" w:color="auto"/>
              <w:left w:val="single" w:sz="4" w:space="0" w:color="auto"/>
              <w:bottom w:val="single" w:sz="4" w:space="0" w:color="auto"/>
              <w:right w:val="single" w:sz="4" w:space="0" w:color="auto"/>
            </w:tcBorders>
          </w:tcPr>
          <w:p w14:paraId="54DE100B" w14:textId="77777777" w:rsidR="005D66B9" w:rsidRPr="00906EDA" w:rsidRDefault="005D66B9" w:rsidP="005D66B9">
            <w:pPr>
              <w:spacing w:line="320" w:lineRule="exact"/>
              <w:rPr>
                <w:b/>
                <w:bCs/>
                <w:sz w:val="14"/>
                <w:szCs w:val="14"/>
              </w:rPr>
            </w:pPr>
          </w:p>
        </w:tc>
        <w:tc>
          <w:tcPr>
            <w:tcW w:w="1183" w:type="dxa"/>
            <w:tcBorders>
              <w:top w:val="single" w:sz="4" w:space="0" w:color="auto"/>
              <w:left w:val="single" w:sz="4" w:space="0" w:color="auto"/>
              <w:bottom w:val="single" w:sz="4" w:space="0" w:color="auto"/>
              <w:right w:val="single" w:sz="4" w:space="0" w:color="auto"/>
            </w:tcBorders>
          </w:tcPr>
          <w:p w14:paraId="661A5FDE" w14:textId="77777777" w:rsidR="005D66B9" w:rsidRPr="00906EDA" w:rsidRDefault="005D66B9" w:rsidP="005D66B9">
            <w:pPr>
              <w:spacing w:line="320" w:lineRule="exact"/>
              <w:rPr>
                <w:b/>
                <w:bCs/>
                <w:sz w:val="14"/>
                <w:szCs w:val="14"/>
              </w:rPr>
            </w:pPr>
          </w:p>
        </w:tc>
        <w:tc>
          <w:tcPr>
            <w:tcW w:w="2786" w:type="dxa"/>
            <w:tcBorders>
              <w:top w:val="single" w:sz="4" w:space="0" w:color="auto"/>
              <w:left w:val="single" w:sz="4" w:space="0" w:color="auto"/>
              <w:bottom w:val="single" w:sz="4" w:space="0" w:color="auto"/>
              <w:right w:val="single" w:sz="4" w:space="0" w:color="auto"/>
            </w:tcBorders>
          </w:tcPr>
          <w:p w14:paraId="698971A0" w14:textId="715FD027" w:rsidR="005D66B9" w:rsidRPr="00906EDA" w:rsidRDefault="00040A83" w:rsidP="005D66B9">
            <w:pPr>
              <w:spacing w:line="320" w:lineRule="exact"/>
              <w:jc w:val="both"/>
              <w:rPr>
                <w:b/>
                <w:bCs/>
                <w:sz w:val="14"/>
                <w:szCs w:val="14"/>
              </w:rPr>
            </w:pPr>
            <w:r w:rsidRPr="00906EDA">
              <w:rPr>
                <w:i/>
                <w:iCs/>
                <w:sz w:val="14"/>
                <w:szCs w:val="14"/>
              </w:rPr>
              <w:t>Mitgliedschaft in gesetzlich zu bildenden Aufsichtsräten</w:t>
            </w:r>
          </w:p>
        </w:tc>
        <w:tc>
          <w:tcPr>
            <w:tcW w:w="2542" w:type="dxa"/>
            <w:tcBorders>
              <w:top w:val="single" w:sz="4" w:space="0" w:color="auto"/>
              <w:left w:val="single" w:sz="4" w:space="0" w:color="auto"/>
              <w:bottom w:val="single" w:sz="4" w:space="0" w:color="auto"/>
              <w:right w:val="single" w:sz="4" w:space="0" w:color="auto"/>
            </w:tcBorders>
          </w:tcPr>
          <w:p w14:paraId="1CDCBABE" w14:textId="03C15F75" w:rsidR="005D66B9" w:rsidRPr="00906EDA" w:rsidRDefault="00040A83" w:rsidP="005D66B9">
            <w:pPr>
              <w:spacing w:line="320" w:lineRule="exact"/>
              <w:jc w:val="both"/>
              <w:rPr>
                <w:b/>
                <w:bCs/>
                <w:sz w:val="14"/>
                <w:szCs w:val="14"/>
              </w:rPr>
            </w:pPr>
            <w:r w:rsidRPr="00906EDA">
              <w:rPr>
                <w:i/>
                <w:iCs/>
                <w:sz w:val="14"/>
                <w:szCs w:val="14"/>
              </w:rPr>
              <w:t>Mitgliedschaft in vergleichbaren in- oder ausländischen Kontrollgremien von Wirtschaftsunternehmen</w:t>
            </w:r>
          </w:p>
        </w:tc>
      </w:tr>
      <w:tr w:rsidR="00823A10" w:rsidRPr="00906EDA" w14:paraId="152B9813" w14:textId="153BDF57" w:rsidTr="00BA7E5A">
        <w:tc>
          <w:tcPr>
            <w:tcW w:w="0" w:type="auto"/>
            <w:tcBorders>
              <w:top w:val="single" w:sz="4" w:space="0" w:color="auto"/>
              <w:left w:val="single" w:sz="4" w:space="0" w:color="auto"/>
              <w:bottom w:val="single" w:sz="4" w:space="0" w:color="auto"/>
              <w:right w:val="single" w:sz="4" w:space="0" w:color="auto"/>
            </w:tcBorders>
            <w:hideMark/>
          </w:tcPr>
          <w:p w14:paraId="003A83EF" w14:textId="77777777" w:rsidR="005D66B9" w:rsidRPr="00906EDA" w:rsidRDefault="00040A83" w:rsidP="00B37DDF">
            <w:pPr>
              <w:spacing w:line="320" w:lineRule="exact"/>
              <w:rPr>
                <w:sz w:val="14"/>
                <w:szCs w:val="14"/>
              </w:rPr>
            </w:pPr>
            <w:r w:rsidRPr="00906EDA">
              <w:rPr>
                <w:sz w:val="14"/>
                <w:szCs w:val="14"/>
              </w:rPr>
              <w:t>Dr. Hendrik Otto (Vorsitzender)</w:t>
            </w:r>
          </w:p>
        </w:tc>
        <w:tc>
          <w:tcPr>
            <w:tcW w:w="0" w:type="auto"/>
            <w:tcBorders>
              <w:top w:val="single" w:sz="4" w:space="0" w:color="auto"/>
              <w:left w:val="single" w:sz="4" w:space="0" w:color="auto"/>
              <w:bottom w:val="single" w:sz="4" w:space="0" w:color="auto"/>
              <w:right w:val="single" w:sz="4" w:space="0" w:color="auto"/>
            </w:tcBorders>
            <w:hideMark/>
          </w:tcPr>
          <w:p w14:paraId="5FE428A3" w14:textId="07CEA9E9" w:rsidR="005D66B9" w:rsidRPr="00906EDA" w:rsidRDefault="00B844BF" w:rsidP="00B37DDF">
            <w:pPr>
              <w:spacing w:line="320" w:lineRule="exact"/>
              <w:rPr>
                <w:sz w:val="14"/>
                <w:szCs w:val="14"/>
              </w:rPr>
            </w:pPr>
            <w:r w:rsidRPr="00906EDA">
              <w:rPr>
                <w:sz w:val="14"/>
                <w:szCs w:val="14"/>
              </w:rPr>
              <w:t>Berater</w:t>
            </w:r>
            <w:r w:rsidR="00AC027B" w:rsidRPr="00906EDA">
              <w:rPr>
                <w:sz w:val="14"/>
                <w:szCs w:val="14"/>
              </w:rPr>
              <w:t xml:space="preserve"> bei</w:t>
            </w:r>
            <w:r w:rsidRPr="00906EDA">
              <w:rPr>
                <w:sz w:val="14"/>
                <w:szCs w:val="14"/>
              </w:rPr>
              <w:t xml:space="preserve"> Egon Zehnder</w:t>
            </w:r>
            <w:r w:rsidR="00F23119" w:rsidRPr="00906EDA">
              <w:rPr>
                <w:sz w:val="14"/>
                <w:szCs w:val="14"/>
              </w:rPr>
              <w:t xml:space="preserve"> und Rechtsanwalt</w:t>
            </w:r>
            <w:r w:rsidRPr="00906EDA">
              <w:rPr>
                <w:sz w:val="14"/>
                <w:szCs w:val="14"/>
              </w:rPr>
              <w:t xml:space="preserve">, </w:t>
            </w:r>
            <w:r w:rsidR="00AC027B" w:rsidRPr="00906EDA">
              <w:rPr>
                <w:sz w:val="14"/>
                <w:szCs w:val="14"/>
              </w:rPr>
              <w:br/>
            </w:r>
            <w:r w:rsidRPr="00906EDA">
              <w:rPr>
                <w:sz w:val="14"/>
                <w:szCs w:val="14"/>
              </w:rPr>
              <w:t>Düsseldorf</w:t>
            </w:r>
          </w:p>
        </w:tc>
        <w:tc>
          <w:tcPr>
            <w:tcW w:w="0" w:type="auto"/>
            <w:tcBorders>
              <w:top w:val="single" w:sz="4" w:space="0" w:color="auto"/>
              <w:left w:val="single" w:sz="4" w:space="0" w:color="auto"/>
              <w:bottom w:val="single" w:sz="4" w:space="0" w:color="auto"/>
              <w:right w:val="single" w:sz="4" w:space="0" w:color="auto"/>
            </w:tcBorders>
            <w:hideMark/>
          </w:tcPr>
          <w:p w14:paraId="4EF7D3A0" w14:textId="77777777" w:rsidR="005D66B9" w:rsidRPr="00906EDA" w:rsidRDefault="00040A83" w:rsidP="00B37DDF">
            <w:pPr>
              <w:spacing w:line="320" w:lineRule="exact"/>
              <w:rPr>
                <w:sz w:val="14"/>
                <w:szCs w:val="14"/>
              </w:rPr>
            </w:pPr>
            <w:r w:rsidRPr="00906EDA">
              <w:rPr>
                <w:sz w:val="14"/>
                <w:szCs w:val="14"/>
              </w:rPr>
              <w:t>1975</w:t>
            </w:r>
          </w:p>
        </w:tc>
        <w:tc>
          <w:tcPr>
            <w:tcW w:w="0" w:type="auto"/>
            <w:tcBorders>
              <w:top w:val="single" w:sz="4" w:space="0" w:color="auto"/>
              <w:left w:val="single" w:sz="4" w:space="0" w:color="auto"/>
              <w:bottom w:val="single" w:sz="4" w:space="0" w:color="auto"/>
              <w:right w:val="single" w:sz="4" w:space="0" w:color="auto"/>
            </w:tcBorders>
            <w:hideMark/>
          </w:tcPr>
          <w:p w14:paraId="147E8442" w14:textId="4AF43D58" w:rsidR="005D66B9" w:rsidRPr="00906EDA" w:rsidRDefault="00040A83" w:rsidP="00B37DDF">
            <w:pPr>
              <w:spacing w:line="320" w:lineRule="exact"/>
              <w:rPr>
                <w:sz w:val="14"/>
                <w:szCs w:val="14"/>
              </w:rPr>
            </w:pPr>
            <w:r w:rsidRPr="00906EDA">
              <w:rPr>
                <w:sz w:val="14"/>
                <w:szCs w:val="14"/>
              </w:rPr>
              <w:t>Deutsch</w:t>
            </w:r>
          </w:p>
        </w:tc>
        <w:tc>
          <w:tcPr>
            <w:tcW w:w="1243" w:type="dxa"/>
            <w:tcBorders>
              <w:top w:val="single" w:sz="4" w:space="0" w:color="auto"/>
              <w:left w:val="single" w:sz="4" w:space="0" w:color="auto"/>
              <w:bottom w:val="single" w:sz="4" w:space="0" w:color="auto"/>
              <w:right w:val="single" w:sz="4" w:space="0" w:color="auto"/>
            </w:tcBorders>
            <w:hideMark/>
          </w:tcPr>
          <w:p w14:paraId="54A4975D" w14:textId="2C2ED547" w:rsidR="005D66B9" w:rsidRPr="00906EDA" w:rsidRDefault="00040A83" w:rsidP="00B37DDF">
            <w:pPr>
              <w:spacing w:line="320" w:lineRule="exact"/>
              <w:rPr>
                <w:sz w:val="14"/>
                <w:szCs w:val="14"/>
              </w:rPr>
            </w:pPr>
            <w:r w:rsidRPr="00906EDA">
              <w:rPr>
                <w:sz w:val="14"/>
                <w:szCs w:val="14"/>
              </w:rPr>
              <w:t>23. März 2011</w:t>
            </w:r>
          </w:p>
        </w:tc>
        <w:tc>
          <w:tcPr>
            <w:tcW w:w="1183" w:type="dxa"/>
            <w:tcBorders>
              <w:top w:val="single" w:sz="4" w:space="0" w:color="auto"/>
              <w:left w:val="single" w:sz="4" w:space="0" w:color="auto"/>
              <w:bottom w:val="single" w:sz="4" w:space="0" w:color="auto"/>
              <w:right w:val="single" w:sz="4" w:space="0" w:color="auto"/>
            </w:tcBorders>
            <w:hideMark/>
          </w:tcPr>
          <w:p w14:paraId="494FBE40" w14:textId="2D1866C8" w:rsidR="005D66B9" w:rsidRPr="00906EDA" w:rsidRDefault="00D7007E" w:rsidP="00B37DDF">
            <w:pPr>
              <w:spacing w:line="320" w:lineRule="exact"/>
              <w:rPr>
                <w:sz w:val="14"/>
                <w:szCs w:val="14"/>
              </w:rPr>
            </w:pPr>
            <w:r w:rsidRPr="00906EDA">
              <w:rPr>
                <w:sz w:val="14"/>
                <w:szCs w:val="14"/>
              </w:rPr>
              <w:t>2030</w:t>
            </w:r>
          </w:p>
        </w:tc>
        <w:tc>
          <w:tcPr>
            <w:tcW w:w="2786" w:type="dxa"/>
            <w:tcBorders>
              <w:top w:val="single" w:sz="4" w:space="0" w:color="auto"/>
              <w:left w:val="single" w:sz="4" w:space="0" w:color="auto"/>
              <w:bottom w:val="single" w:sz="4" w:space="0" w:color="auto"/>
              <w:right w:val="single" w:sz="4" w:space="0" w:color="auto"/>
            </w:tcBorders>
            <w:hideMark/>
          </w:tcPr>
          <w:p w14:paraId="7758651A" w14:textId="77777777" w:rsidR="005D66B9" w:rsidRPr="00906EDA" w:rsidRDefault="00040A83" w:rsidP="00B37DDF">
            <w:pPr>
              <w:spacing w:line="320" w:lineRule="exact"/>
              <w:rPr>
                <w:sz w:val="14"/>
                <w:szCs w:val="14"/>
              </w:rPr>
            </w:pPr>
            <w:r w:rsidRPr="00906EDA">
              <w:rPr>
                <w:sz w:val="14"/>
                <w:szCs w:val="14"/>
              </w:rPr>
              <w:t>keine</w:t>
            </w:r>
          </w:p>
        </w:tc>
        <w:tc>
          <w:tcPr>
            <w:tcW w:w="2542" w:type="dxa"/>
            <w:tcBorders>
              <w:top w:val="single" w:sz="4" w:space="0" w:color="auto"/>
              <w:left w:val="single" w:sz="4" w:space="0" w:color="auto"/>
              <w:bottom w:val="single" w:sz="4" w:space="0" w:color="auto"/>
              <w:right w:val="single" w:sz="4" w:space="0" w:color="auto"/>
            </w:tcBorders>
          </w:tcPr>
          <w:p w14:paraId="34F3D4FD" w14:textId="2B583B4E" w:rsidR="005D66B9" w:rsidRPr="00906EDA" w:rsidRDefault="00040A83" w:rsidP="00B37DDF">
            <w:pPr>
              <w:spacing w:line="320" w:lineRule="exact"/>
              <w:rPr>
                <w:sz w:val="14"/>
                <w:szCs w:val="14"/>
              </w:rPr>
            </w:pPr>
            <w:r w:rsidRPr="00906EDA">
              <w:rPr>
                <w:sz w:val="14"/>
                <w:szCs w:val="14"/>
              </w:rPr>
              <w:t>keine</w:t>
            </w:r>
          </w:p>
        </w:tc>
      </w:tr>
      <w:tr w:rsidR="00AD0012" w:rsidRPr="00906EDA" w14:paraId="253D6F44" w14:textId="77777777" w:rsidTr="00BA7E5A">
        <w:tc>
          <w:tcPr>
            <w:tcW w:w="0" w:type="auto"/>
            <w:tcBorders>
              <w:top w:val="single" w:sz="4" w:space="0" w:color="auto"/>
              <w:left w:val="single" w:sz="4" w:space="0" w:color="auto"/>
              <w:bottom w:val="single" w:sz="4" w:space="0" w:color="auto"/>
              <w:right w:val="single" w:sz="4" w:space="0" w:color="auto"/>
            </w:tcBorders>
          </w:tcPr>
          <w:p w14:paraId="27DCFED2" w14:textId="77777777" w:rsidR="00AD0012" w:rsidRPr="00906EDA" w:rsidRDefault="00AD0012" w:rsidP="00AD0012">
            <w:pPr>
              <w:spacing w:line="320" w:lineRule="exact"/>
              <w:rPr>
                <w:sz w:val="14"/>
                <w:szCs w:val="14"/>
              </w:rPr>
            </w:pPr>
            <w:r w:rsidRPr="00906EDA">
              <w:rPr>
                <w:sz w:val="14"/>
                <w:szCs w:val="14"/>
              </w:rPr>
              <w:t>Prof. Dr. Kai C. Andrejewski</w:t>
            </w:r>
          </w:p>
          <w:p w14:paraId="5947A077" w14:textId="64288ACA" w:rsidR="00AD0012" w:rsidRPr="00906EDA" w:rsidRDefault="00AD0012" w:rsidP="00AD0012">
            <w:pPr>
              <w:spacing w:line="320" w:lineRule="exact"/>
              <w:rPr>
                <w:sz w:val="14"/>
                <w:szCs w:val="14"/>
              </w:rPr>
            </w:pPr>
            <w:r w:rsidRPr="00906EDA">
              <w:rPr>
                <w:sz w:val="14"/>
                <w:szCs w:val="14"/>
              </w:rPr>
              <w:t xml:space="preserve">(Stellvertretender </w:t>
            </w:r>
            <w:r w:rsidRPr="00906EDA">
              <w:rPr>
                <w:sz w:val="14"/>
                <w:szCs w:val="14"/>
              </w:rPr>
              <w:br/>
              <w:t>Vorsitzender)</w:t>
            </w:r>
          </w:p>
        </w:tc>
        <w:tc>
          <w:tcPr>
            <w:tcW w:w="0" w:type="auto"/>
            <w:tcBorders>
              <w:top w:val="single" w:sz="4" w:space="0" w:color="auto"/>
              <w:left w:val="single" w:sz="4" w:space="0" w:color="auto"/>
              <w:bottom w:val="single" w:sz="4" w:space="0" w:color="auto"/>
              <w:right w:val="single" w:sz="4" w:space="0" w:color="auto"/>
            </w:tcBorders>
          </w:tcPr>
          <w:p w14:paraId="2BE3C9D3" w14:textId="398E3475" w:rsidR="00AD0012" w:rsidRPr="00906EDA" w:rsidRDefault="00AD0012" w:rsidP="00AD0012">
            <w:pPr>
              <w:spacing w:line="320" w:lineRule="exact"/>
              <w:rPr>
                <w:sz w:val="14"/>
                <w:szCs w:val="14"/>
              </w:rPr>
            </w:pPr>
            <w:r w:rsidRPr="00906EDA">
              <w:rPr>
                <w:sz w:val="14"/>
                <w:szCs w:val="14"/>
              </w:rPr>
              <w:t>Senior Partner bei der Agora Strategy Group AG, München</w:t>
            </w:r>
          </w:p>
        </w:tc>
        <w:tc>
          <w:tcPr>
            <w:tcW w:w="0" w:type="auto"/>
            <w:tcBorders>
              <w:top w:val="single" w:sz="4" w:space="0" w:color="auto"/>
              <w:left w:val="single" w:sz="4" w:space="0" w:color="auto"/>
              <w:bottom w:val="single" w:sz="4" w:space="0" w:color="auto"/>
              <w:right w:val="single" w:sz="4" w:space="0" w:color="auto"/>
            </w:tcBorders>
          </w:tcPr>
          <w:p w14:paraId="5CC28043" w14:textId="1F7F461F" w:rsidR="00AD0012" w:rsidRPr="00906EDA" w:rsidRDefault="00AD0012" w:rsidP="00AD0012">
            <w:pPr>
              <w:spacing w:line="320" w:lineRule="exact"/>
              <w:rPr>
                <w:sz w:val="14"/>
                <w:szCs w:val="14"/>
              </w:rPr>
            </w:pPr>
            <w:r w:rsidRPr="00906EDA">
              <w:rPr>
                <w:sz w:val="14"/>
                <w:szCs w:val="14"/>
              </w:rPr>
              <w:t>1967</w:t>
            </w:r>
          </w:p>
        </w:tc>
        <w:tc>
          <w:tcPr>
            <w:tcW w:w="0" w:type="auto"/>
            <w:tcBorders>
              <w:top w:val="single" w:sz="4" w:space="0" w:color="auto"/>
              <w:left w:val="single" w:sz="4" w:space="0" w:color="auto"/>
              <w:bottom w:val="single" w:sz="4" w:space="0" w:color="auto"/>
              <w:right w:val="single" w:sz="4" w:space="0" w:color="auto"/>
            </w:tcBorders>
          </w:tcPr>
          <w:p w14:paraId="2CBF77A9" w14:textId="70B1D007" w:rsidR="00AD0012" w:rsidRPr="00906EDA" w:rsidRDefault="00AD0012" w:rsidP="00AD0012">
            <w:pPr>
              <w:spacing w:line="320" w:lineRule="exact"/>
              <w:rPr>
                <w:sz w:val="14"/>
                <w:szCs w:val="14"/>
              </w:rPr>
            </w:pPr>
            <w:r w:rsidRPr="00906EDA">
              <w:rPr>
                <w:sz w:val="14"/>
                <w:szCs w:val="14"/>
              </w:rPr>
              <w:t>Deutsch</w:t>
            </w:r>
          </w:p>
        </w:tc>
        <w:tc>
          <w:tcPr>
            <w:tcW w:w="1243" w:type="dxa"/>
            <w:tcBorders>
              <w:top w:val="single" w:sz="4" w:space="0" w:color="auto"/>
              <w:left w:val="single" w:sz="4" w:space="0" w:color="auto"/>
              <w:bottom w:val="single" w:sz="4" w:space="0" w:color="auto"/>
              <w:right w:val="single" w:sz="4" w:space="0" w:color="auto"/>
            </w:tcBorders>
          </w:tcPr>
          <w:p w14:paraId="485E68C2" w14:textId="7086824B" w:rsidR="00AD0012" w:rsidRPr="00906EDA" w:rsidRDefault="00AD0012" w:rsidP="00AD0012">
            <w:pPr>
              <w:spacing w:line="320" w:lineRule="exact"/>
              <w:rPr>
                <w:sz w:val="14"/>
                <w:szCs w:val="14"/>
              </w:rPr>
            </w:pPr>
            <w:r w:rsidRPr="00906EDA">
              <w:rPr>
                <w:sz w:val="14"/>
                <w:szCs w:val="14"/>
              </w:rPr>
              <w:t>17. Januar 2023</w:t>
            </w:r>
          </w:p>
        </w:tc>
        <w:tc>
          <w:tcPr>
            <w:tcW w:w="1183" w:type="dxa"/>
            <w:tcBorders>
              <w:top w:val="single" w:sz="4" w:space="0" w:color="auto"/>
              <w:left w:val="single" w:sz="4" w:space="0" w:color="auto"/>
              <w:bottom w:val="single" w:sz="4" w:space="0" w:color="auto"/>
              <w:right w:val="single" w:sz="4" w:space="0" w:color="auto"/>
            </w:tcBorders>
          </w:tcPr>
          <w:p w14:paraId="68E5B690" w14:textId="73416ADC" w:rsidR="00AD0012" w:rsidRPr="00906EDA" w:rsidRDefault="00AD0012" w:rsidP="00AD0012">
            <w:pPr>
              <w:spacing w:line="320" w:lineRule="exact"/>
              <w:rPr>
                <w:sz w:val="14"/>
                <w:szCs w:val="14"/>
              </w:rPr>
            </w:pPr>
            <w:r w:rsidRPr="00906EDA">
              <w:rPr>
                <w:sz w:val="14"/>
                <w:szCs w:val="14"/>
              </w:rPr>
              <w:t>2027</w:t>
            </w:r>
          </w:p>
        </w:tc>
        <w:tc>
          <w:tcPr>
            <w:tcW w:w="2786" w:type="dxa"/>
            <w:tcBorders>
              <w:top w:val="single" w:sz="4" w:space="0" w:color="auto"/>
              <w:left w:val="single" w:sz="4" w:space="0" w:color="auto"/>
              <w:bottom w:val="single" w:sz="4" w:space="0" w:color="auto"/>
              <w:right w:val="single" w:sz="4" w:space="0" w:color="auto"/>
            </w:tcBorders>
          </w:tcPr>
          <w:p w14:paraId="2FAD5E41" w14:textId="77777777" w:rsidR="00AD0012" w:rsidRPr="00906EDA" w:rsidRDefault="00AD0012" w:rsidP="00AD0012">
            <w:pPr>
              <w:pStyle w:val="Listenabsatz"/>
              <w:numPr>
                <w:ilvl w:val="0"/>
                <w:numId w:val="15"/>
              </w:numPr>
              <w:spacing w:line="320" w:lineRule="exact"/>
              <w:ind w:left="117" w:hanging="117"/>
              <w:rPr>
                <w:sz w:val="14"/>
                <w:szCs w:val="14"/>
              </w:rPr>
            </w:pPr>
            <w:r w:rsidRPr="00906EDA">
              <w:rPr>
                <w:sz w:val="14"/>
                <w:szCs w:val="14"/>
              </w:rPr>
              <w:t xml:space="preserve">Aufsichtsrat der SEEHG </w:t>
            </w:r>
            <w:proofErr w:type="spellStart"/>
            <w:r w:rsidRPr="00906EDA">
              <w:rPr>
                <w:sz w:val="14"/>
                <w:szCs w:val="14"/>
              </w:rPr>
              <w:t>Securing</w:t>
            </w:r>
            <w:proofErr w:type="spellEnd"/>
            <w:r w:rsidRPr="00906EDA">
              <w:rPr>
                <w:sz w:val="14"/>
                <w:szCs w:val="14"/>
              </w:rPr>
              <w:t xml:space="preserve"> Energy </w:t>
            </w:r>
            <w:proofErr w:type="spellStart"/>
            <w:r w:rsidRPr="00906EDA">
              <w:rPr>
                <w:sz w:val="14"/>
                <w:szCs w:val="14"/>
              </w:rPr>
              <w:t>for</w:t>
            </w:r>
            <w:proofErr w:type="spellEnd"/>
            <w:r w:rsidRPr="00906EDA">
              <w:rPr>
                <w:sz w:val="14"/>
                <w:szCs w:val="14"/>
              </w:rPr>
              <w:t xml:space="preserve"> Europe Holding GmbH, Berlin</w:t>
            </w:r>
          </w:p>
          <w:p w14:paraId="3832675E" w14:textId="77777777" w:rsidR="00AD0012" w:rsidRDefault="00AD0012" w:rsidP="00AD0012">
            <w:pPr>
              <w:pStyle w:val="Listenabsatz"/>
              <w:numPr>
                <w:ilvl w:val="0"/>
                <w:numId w:val="15"/>
              </w:numPr>
              <w:spacing w:line="320" w:lineRule="exact"/>
              <w:ind w:left="117" w:hanging="117"/>
              <w:rPr>
                <w:sz w:val="14"/>
                <w:szCs w:val="14"/>
              </w:rPr>
            </w:pPr>
            <w:r w:rsidRPr="00906EDA">
              <w:rPr>
                <w:sz w:val="14"/>
                <w:szCs w:val="14"/>
              </w:rPr>
              <w:t>Mitglied des Aufsichtsrats der</w:t>
            </w:r>
            <w:r w:rsidRPr="00906EDA">
              <w:rPr>
                <w:sz w:val="14"/>
                <w:szCs w:val="14"/>
              </w:rPr>
              <w:br/>
            </w:r>
            <w:proofErr w:type="spellStart"/>
            <w:r w:rsidRPr="00906EDA">
              <w:rPr>
                <w:sz w:val="14"/>
                <w:szCs w:val="14"/>
              </w:rPr>
              <w:t>innoscripta</w:t>
            </w:r>
            <w:proofErr w:type="spellEnd"/>
            <w:r w:rsidRPr="00906EDA">
              <w:rPr>
                <w:sz w:val="14"/>
                <w:szCs w:val="14"/>
              </w:rPr>
              <w:t xml:space="preserve"> </w:t>
            </w:r>
            <w:r w:rsidR="00A84844">
              <w:rPr>
                <w:sz w:val="14"/>
                <w:szCs w:val="14"/>
              </w:rPr>
              <w:t>SE</w:t>
            </w:r>
            <w:r w:rsidRPr="00906EDA">
              <w:rPr>
                <w:sz w:val="14"/>
                <w:szCs w:val="14"/>
              </w:rPr>
              <w:t>, München</w:t>
            </w:r>
          </w:p>
          <w:p w14:paraId="4F999538" w14:textId="64B41FAC" w:rsidR="00A84844" w:rsidRPr="00906EDA" w:rsidRDefault="00A84844" w:rsidP="00AD0012">
            <w:pPr>
              <w:pStyle w:val="Listenabsatz"/>
              <w:numPr>
                <w:ilvl w:val="0"/>
                <w:numId w:val="15"/>
              </w:numPr>
              <w:spacing w:line="320" w:lineRule="exact"/>
              <w:ind w:left="117" w:hanging="117"/>
              <w:rPr>
                <w:sz w:val="14"/>
                <w:szCs w:val="14"/>
              </w:rPr>
            </w:pPr>
            <w:r w:rsidRPr="00A84844">
              <w:rPr>
                <w:sz w:val="14"/>
                <w:szCs w:val="14"/>
              </w:rPr>
              <w:t xml:space="preserve">Mitglied des Aufsichtsrats der </w:t>
            </w:r>
            <w:proofErr w:type="spellStart"/>
            <w:r w:rsidRPr="00A84844">
              <w:rPr>
                <w:sz w:val="14"/>
                <w:szCs w:val="14"/>
              </w:rPr>
              <w:t>Rofa</w:t>
            </w:r>
            <w:proofErr w:type="spellEnd"/>
            <w:r w:rsidRPr="00A84844">
              <w:rPr>
                <w:sz w:val="14"/>
                <w:szCs w:val="14"/>
              </w:rPr>
              <w:t xml:space="preserve"> Industrial Automation AG, Kolbermoor</w:t>
            </w:r>
          </w:p>
        </w:tc>
        <w:tc>
          <w:tcPr>
            <w:tcW w:w="2542" w:type="dxa"/>
            <w:tcBorders>
              <w:top w:val="single" w:sz="4" w:space="0" w:color="auto"/>
              <w:left w:val="single" w:sz="4" w:space="0" w:color="auto"/>
              <w:bottom w:val="single" w:sz="4" w:space="0" w:color="auto"/>
              <w:right w:val="single" w:sz="4" w:space="0" w:color="auto"/>
            </w:tcBorders>
          </w:tcPr>
          <w:p w14:paraId="51FE5631" w14:textId="57C4108B" w:rsidR="00AD0012" w:rsidRPr="00906EDA" w:rsidRDefault="00AD0012" w:rsidP="00AD0012">
            <w:pPr>
              <w:spacing w:line="320" w:lineRule="exact"/>
              <w:rPr>
                <w:sz w:val="14"/>
                <w:szCs w:val="14"/>
              </w:rPr>
            </w:pPr>
            <w:r w:rsidRPr="00906EDA">
              <w:rPr>
                <w:sz w:val="14"/>
                <w:szCs w:val="14"/>
              </w:rPr>
              <w:t>keine</w:t>
            </w:r>
          </w:p>
        </w:tc>
      </w:tr>
      <w:tr w:rsidR="00823A10" w:rsidRPr="009715FB" w14:paraId="03D400A5" w14:textId="2ECD1F58" w:rsidTr="00BA7E5A">
        <w:tc>
          <w:tcPr>
            <w:tcW w:w="0" w:type="auto"/>
            <w:tcBorders>
              <w:top w:val="single" w:sz="4" w:space="0" w:color="auto"/>
              <w:left w:val="single" w:sz="4" w:space="0" w:color="auto"/>
              <w:bottom w:val="single" w:sz="4" w:space="0" w:color="auto"/>
              <w:right w:val="single" w:sz="4" w:space="0" w:color="auto"/>
            </w:tcBorders>
            <w:hideMark/>
          </w:tcPr>
          <w:p w14:paraId="277A91B7" w14:textId="77777777" w:rsidR="00823A10" w:rsidRPr="00906EDA" w:rsidRDefault="00823A10" w:rsidP="00823A10">
            <w:pPr>
              <w:spacing w:line="320" w:lineRule="exact"/>
              <w:rPr>
                <w:sz w:val="14"/>
                <w:szCs w:val="14"/>
              </w:rPr>
            </w:pPr>
            <w:r w:rsidRPr="00906EDA">
              <w:rPr>
                <w:sz w:val="14"/>
                <w:szCs w:val="14"/>
              </w:rPr>
              <w:t>Axel Holtrup</w:t>
            </w:r>
          </w:p>
        </w:tc>
        <w:tc>
          <w:tcPr>
            <w:tcW w:w="0" w:type="auto"/>
            <w:tcBorders>
              <w:top w:val="single" w:sz="4" w:space="0" w:color="auto"/>
              <w:left w:val="single" w:sz="4" w:space="0" w:color="auto"/>
              <w:bottom w:val="single" w:sz="4" w:space="0" w:color="auto"/>
              <w:right w:val="single" w:sz="4" w:space="0" w:color="auto"/>
            </w:tcBorders>
            <w:hideMark/>
          </w:tcPr>
          <w:p w14:paraId="2434EC47" w14:textId="1064A236" w:rsidR="00823A10" w:rsidRPr="00906EDA" w:rsidRDefault="00823A10" w:rsidP="00823A10">
            <w:pPr>
              <w:spacing w:line="320" w:lineRule="exact"/>
              <w:rPr>
                <w:sz w:val="14"/>
                <w:szCs w:val="14"/>
              </w:rPr>
            </w:pPr>
            <w:r w:rsidRPr="00906EDA">
              <w:rPr>
                <w:sz w:val="14"/>
                <w:szCs w:val="14"/>
              </w:rPr>
              <w:t>Selb</w:t>
            </w:r>
            <w:r w:rsidR="000857E5">
              <w:rPr>
                <w:sz w:val="14"/>
                <w:szCs w:val="14"/>
              </w:rPr>
              <w:t>st</w:t>
            </w:r>
            <w:r w:rsidRPr="00906EDA">
              <w:rPr>
                <w:sz w:val="14"/>
                <w:szCs w:val="14"/>
              </w:rPr>
              <w:t xml:space="preserve">ständiger Investor, </w:t>
            </w:r>
            <w:r w:rsidR="00E91F7D" w:rsidRPr="00906EDA">
              <w:rPr>
                <w:sz w:val="14"/>
                <w:szCs w:val="14"/>
              </w:rPr>
              <w:t>Cobham</w:t>
            </w:r>
            <w:r w:rsidRPr="00906EDA">
              <w:rPr>
                <w:sz w:val="14"/>
                <w:szCs w:val="14"/>
              </w:rPr>
              <w:t xml:space="preserve">, </w:t>
            </w:r>
            <w:r w:rsidRPr="00906EDA">
              <w:rPr>
                <w:sz w:val="14"/>
                <w:szCs w:val="14"/>
              </w:rPr>
              <w:br/>
              <w:t>Vereinigtes Königreich</w:t>
            </w:r>
          </w:p>
        </w:tc>
        <w:tc>
          <w:tcPr>
            <w:tcW w:w="0" w:type="auto"/>
            <w:tcBorders>
              <w:top w:val="single" w:sz="4" w:space="0" w:color="auto"/>
              <w:left w:val="single" w:sz="4" w:space="0" w:color="auto"/>
              <w:bottom w:val="single" w:sz="4" w:space="0" w:color="auto"/>
              <w:right w:val="single" w:sz="4" w:space="0" w:color="auto"/>
            </w:tcBorders>
            <w:hideMark/>
          </w:tcPr>
          <w:p w14:paraId="1D592E9F" w14:textId="77777777" w:rsidR="00823A10" w:rsidRPr="00906EDA" w:rsidRDefault="00823A10" w:rsidP="00823A10">
            <w:pPr>
              <w:spacing w:line="320" w:lineRule="exact"/>
              <w:rPr>
                <w:sz w:val="14"/>
                <w:szCs w:val="14"/>
              </w:rPr>
            </w:pPr>
            <w:r w:rsidRPr="00906EDA">
              <w:rPr>
                <w:sz w:val="14"/>
                <w:szCs w:val="14"/>
              </w:rPr>
              <w:t>1968</w:t>
            </w:r>
          </w:p>
        </w:tc>
        <w:tc>
          <w:tcPr>
            <w:tcW w:w="0" w:type="auto"/>
            <w:tcBorders>
              <w:top w:val="single" w:sz="4" w:space="0" w:color="auto"/>
              <w:left w:val="single" w:sz="4" w:space="0" w:color="auto"/>
              <w:bottom w:val="single" w:sz="4" w:space="0" w:color="auto"/>
              <w:right w:val="single" w:sz="4" w:space="0" w:color="auto"/>
            </w:tcBorders>
            <w:hideMark/>
          </w:tcPr>
          <w:p w14:paraId="015E408A" w14:textId="01C47CC7" w:rsidR="00823A10" w:rsidRPr="00906EDA" w:rsidRDefault="00823A10" w:rsidP="00823A10">
            <w:pPr>
              <w:spacing w:line="320" w:lineRule="exact"/>
              <w:rPr>
                <w:sz w:val="14"/>
                <w:szCs w:val="14"/>
              </w:rPr>
            </w:pPr>
            <w:r w:rsidRPr="00906EDA">
              <w:rPr>
                <w:sz w:val="14"/>
                <w:szCs w:val="14"/>
              </w:rPr>
              <w:t>Deutsch</w:t>
            </w:r>
          </w:p>
        </w:tc>
        <w:tc>
          <w:tcPr>
            <w:tcW w:w="1243" w:type="dxa"/>
            <w:tcBorders>
              <w:top w:val="single" w:sz="4" w:space="0" w:color="auto"/>
              <w:left w:val="single" w:sz="4" w:space="0" w:color="auto"/>
              <w:bottom w:val="single" w:sz="4" w:space="0" w:color="auto"/>
              <w:right w:val="single" w:sz="4" w:space="0" w:color="auto"/>
            </w:tcBorders>
            <w:hideMark/>
          </w:tcPr>
          <w:p w14:paraId="17DE9925" w14:textId="51A96570" w:rsidR="00823A10" w:rsidRPr="00906EDA" w:rsidRDefault="00823A10" w:rsidP="00823A10">
            <w:pPr>
              <w:spacing w:line="320" w:lineRule="exact"/>
              <w:rPr>
                <w:sz w:val="14"/>
                <w:szCs w:val="14"/>
              </w:rPr>
            </w:pPr>
            <w:r w:rsidRPr="00906EDA">
              <w:rPr>
                <w:sz w:val="14"/>
                <w:szCs w:val="14"/>
              </w:rPr>
              <w:t>22. Februar 2020</w:t>
            </w:r>
          </w:p>
        </w:tc>
        <w:tc>
          <w:tcPr>
            <w:tcW w:w="1183" w:type="dxa"/>
            <w:tcBorders>
              <w:top w:val="single" w:sz="4" w:space="0" w:color="auto"/>
              <w:left w:val="single" w:sz="4" w:space="0" w:color="auto"/>
              <w:bottom w:val="single" w:sz="4" w:space="0" w:color="auto"/>
              <w:right w:val="single" w:sz="4" w:space="0" w:color="auto"/>
            </w:tcBorders>
            <w:hideMark/>
          </w:tcPr>
          <w:p w14:paraId="51A5DDF5" w14:textId="59DC8DDD" w:rsidR="00823A10" w:rsidRPr="00906EDA" w:rsidRDefault="00D7007E" w:rsidP="00823A10">
            <w:pPr>
              <w:spacing w:line="320" w:lineRule="exact"/>
              <w:rPr>
                <w:sz w:val="14"/>
                <w:szCs w:val="14"/>
              </w:rPr>
            </w:pPr>
            <w:r w:rsidRPr="00906EDA">
              <w:rPr>
                <w:sz w:val="14"/>
                <w:szCs w:val="14"/>
              </w:rPr>
              <w:t>2030</w:t>
            </w:r>
          </w:p>
        </w:tc>
        <w:tc>
          <w:tcPr>
            <w:tcW w:w="2786" w:type="dxa"/>
            <w:tcBorders>
              <w:top w:val="single" w:sz="4" w:space="0" w:color="auto"/>
              <w:left w:val="single" w:sz="4" w:space="0" w:color="auto"/>
              <w:bottom w:val="single" w:sz="4" w:space="0" w:color="auto"/>
              <w:right w:val="single" w:sz="4" w:space="0" w:color="auto"/>
            </w:tcBorders>
            <w:hideMark/>
          </w:tcPr>
          <w:p w14:paraId="4C6618D8" w14:textId="40F12BEA" w:rsidR="00823A10" w:rsidRPr="00906EDA" w:rsidRDefault="00854B43" w:rsidP="00854B43">
            <w:pPr>
              <w:spacing w:line="320" w:lineRule="exact"/>
              <w:rPr>
                <w:sz w:val="14"/>
                <w:szCs w:val="14"/>
                <w:lang w:val="en-US"/>
              </w:rPr>
            </w:pPr>
            <w:r w:rsidRPr="00906EDA">
              <w:rPr>
                <w:sz w:val="14"/>
                <w:szCs w:val="14"/>
              </w:rPr>
              <w:t>keine</w:t>
            </w:r>
          </w:p>
        </w:tc>
        <w:tc>
          <w:tcPr>
            <w:tcW w:w="2542" w:type="dxa"/>
            <w:tcBorders>
              <w:top w:val="single" w:sz="4" w:space="0" w:color="auto"/>
              <w:left w:val="single" w:sz="4" w:space="0" w:color="auto"/>
              <w:bottom w:val="single" w:sz="4" w:space="0" w:color="auto"/>
              <w:right w:val="single" w:sz="4" w:space="0" w:color="auto"/>
            </w:tcBorders>
          </w:tcPr>
          <w:p w14:paraId="0E384565" w14:textId="043B7895" w:rsidR="00823A10" w:rsidRPr="00906EDA" w:rsidRDefault="00854B43" w:rsidP="00823A10">
            <w:pPr>
              <w:spacing w:line="320" w:lineRule="exact"/>
              <w:rPr>
                <w:sz w:val="14"/>
                <w:szCs w:val="14"/>
                <w:lang w:val="en-US"/>
              </w:rPr>
            </w:pPr>
            <w:bookmarkStart w:id="9" w:name="_Hlk178786745"/>
            <w:r w:rsidRPr="00906EDA">
              <w:rPr>
                <w:sz w:val="14"/>
                <w:szCs w:val="14"/>
                <w:lang w:val="en-US"/>
              </w:rPr>
              <w:t xml:space="preserve">Mitglied im Board of Directors von Partners Group Private Equity Limited, </w:t>
            </w:r>
            <w:r w:rsidRPr="00906EDA">
              <w:rPr>
                <w:sz w:val="14"/>
                <w:szCs w:val="14"/>
                <w:lang w:val="en-US"/>
              </w:rPr>
              <w:br/>
              <w:t>Guernsey (</w:t>
            </w:r>
            <w:proofErr w:type="spellStart"/>
            <w:r w:rsidRPr="00906EDA">
              <w:rPr>
                <w:sz w:val="14"/>
                <w:szCs w:val="14"/>
                <w:lang w:val="en-US"/>
              </w:rPr>
              <w:t>börsennotiert</w:t>
            </w:r>
            <w:proofErr w:type="spellEnd"/>
            <w:r w:rsidRPr="00906EDA">
              <w:rPr>
                <w:sz w:val="14"/>
                <w:szCs w:val="14"/>
                <w:lang w:val="en-US"/>
              </w:rPr>
              <w:t>)</w:t>
            </w:r>
            <w:bookmarkEnd w:id="9"/>
          </w:p>
        </w:tc>
      </w:tr>
      <w:tr w:rsidR="003D68EA" w:rsidRPr="00906EDA" w14:paraId="06C8E786" w14:textId="77777777" w:rsidTr="00BA7E5A">
        <w:tc>
          <w:tcPr>
            <w:tcW w:w="0" w:type="auto"/>
            <w:tcBorders>
              <w:top w:val="single" w:sz="4" w:space="0" w:color="auto"/>
              <w:left w:val="single" w:sz="4" w:space="0" w:color="auto"/>
              <w:bottom w:val="single" w:sz="4" w:space="0" w:color="auto"/>
              <w:right w:val="single" w:sz="4" w:space="0" w:color="auto"/>
            </w:tcBorders>
          </w:tcPr>
          <w:p w14:paraId="4B9D4B1A" w14:textId="2F25C06F" w:rsidR="003D68EA" w:rsidRPr="00906EDA" w:rsidRDefault="003D68EA" w:rsidP="00823A10">
            <w:pPr>
              <w:spacing w:line="320" w:lineRule="exact"/>
              <w:rPr>
                <w:sz w:val="14"/>
                <w:szCs w:val="14"/>
              </w:rPr>
            </w:pPr>
            <w:r w:rsidRPr="00906EDA">
              <w:rPr>
                <w:sz w:val="14"/>
                <w:szCs w:val="14"/>
              </w:rPr>
              <w:t>Dr. Kathrin Köhling</w:t>
            </w:r>
          </w:p>
        </w:tc>
        <w:tc>
          <w:tcPr>
            <w:tcW w:w="0" w:type="auto"/>
            <w:tcBorders>
              <w:top w:val="single" w:sz="4" w:space="0" w:color="auto"/>
              <w:left w:val="single" w:sz="4" w:space="0" w:color="auto"/>
              <w:bottom w:val="single" w:sz="4" w:space="0" w:color="auto"/>
              <w:right w:val="single" w:sz="4" w:space="0" w:color="auto"/>
            </w:tcBorders>
          </w:tcPr>
          <w:p w14:paraId="6C571091" w14:textId="7D4849C4" w:rsidR="003D68EA" w:rsidRPr="00906EDA" w:rsidRDefault="001B02C4" w:rsidP="00823A10">
            <w:pPr>
              <w:spacing w:line="320" w:lineRule="exact"/>
              <w:rPr>
                <w:sz w:val="14"/>
                <w:szCs w:val="14"/>
              </w:rPr>
            </w:pPr>
            <w:r w:rsidRPr="00906EDA">
              <w:rPr>
                <w:sz w:val="14"/>
                <w:szCs w:val="14"/>
              </w:rPr>
              <w:t xml:space="preserve">Finanzvorstand </w:t>
            </w:r>
            <w:bookmarkStart w:id="10" w:name="_Hlk178786975"/>
            <w:r w:rsidRPr="00906EDA">
              <w:rPr>
                <w:sz w:val="14"/>
                <w:szCs w:val="14"/>
              </w:rPr>
              <w:t xml:space="preserve">(Chief Financial Officer) </w:t>
            </w:r>
            <w:bookmarkEnd w:id="10"/>
            <w:r w:rsidRPr="00906EDA">
              <w:rPr>
                <w:sz w:val="14"/>
                <w:szCs w:val="14"/>
              </w:rPr>
              <w:t>der LEG Immobilien SE</w:t>
            </w:r>
            <w:r w:rsidR="00F23119" w:rsidRPr="00906EDA">
              <w:rPr>
                <w:sz w:val="14"/>
                <w:szCs w:val="14"/>
              </w:rPr>
              <w:t>, Düsseldorf</w:t>
            </w:r>
          </w:p>
        </w:tc>
        <w:tc>
          <w:tcPr>
            <w:tcW w:w="0" w:type="auto"/>
            <w:tcBorders>
              <w:top w:val="single" w:sz="4" w:space="0" w:color="auto"/>
              <w:left w:val="single" w:sz="4" w:space="0" w:color="auto"/>
              <w:bottom w:val="single" w:sz="4" w:space="0" w:color="auto"/>
              <w:right w:val="single" w:sz="4" w:space="0" w:color="auto"/>
            </w:tcBorders>
          </w:tcPr>
          <w:p w14:paraId="632368A2" w14:textId="008D504B" w:rsidR="003D68EA" w:rsidRPr="00906EDA" w:rsidRDefault="001B02C4" w:rsidP="00823A10">
            <w:pPr>
              <w:spacing w:line="320" w:lineRule="exact"/>
              <w:rPr>
                <w:sz w:val="14"/>
                <w:szCs w:val="14"/>
              </w:rPr>
            </w:pPr>
            <w:r w:rsidRPr="00906EDA">
              <w:rPr>
                <w:sz w:val="14"/>
                <w:szCs w:val="14"/>
              </w:rPr>
              <w:t>1983</w:t>
            </w:r>
          </w:p>
        </w:tc>
        <w:tc>
          <w:tcPr>
            <w:tcW w:w="0" w:type="auto"/>
            <w:tcBorders>
              <w:top w:val="single" w:sz="4" w:space="0" w:color="auto"/>
              <w:left w:val="single" w:sz="4" w:space="0" w:color="auto"/>
              <w:bottom w:val="single" w:sz="4" w:space="0" w:color="auto"/>
              <w:right w:val="single" w:sz="4" w:space="0" w:color="auto"/>
            </w:tcBorders>
          </w:tcPr>
          <w:p w14:paraId="607206A9" w14:textId="5F7BE782" w:rsidR="003D68EA" w:rsidRPr="00906EDA" w:rsidRDefault="001B02C4" w:rsidP="00823A10">
            <w:pPr>
              <w:spacing w:line="320" w:lineRule="exact"/>
              <w:rPr>
                <w:sz w:val="14"/>
                <w:szCs w:val="14"/>
              </w:rPr>
            </w:pPr>
            <w:r w:rsidRPr="00906EDA">
              <w:rPr>
                <w:sz w:val="14"/>
                <w:szCs w:val="14"/>
              </w:rPr>
              <w:t>Deutsch</w:t>
            </w:r>
          </w:p>
        </w:tc>
        <w:tc>
          <w:tcPr>
            <w:tcW w:w="1243" w:type="dxa"/>
            <w:tcBorders>
              <w:top w:val="single" w:sz="4" w:space="0" w:color="auto"/>
              <w:left w:val="single" w:sz="4" w:space="0" w:color="auto"/>
              <w:bottom w:val="single" w:sz="4" w:space="0" w:color="auto"/>
              <w:right w:val="single" w:sz="4" w:space="0" w:color="auto"/>
            </w:tcBorders>
          </w:tcPr>
          <w:p w14:paraId="11766C3F" w14:textId="2A3CF9D5" w:rsidR="003D68EA" w:rsidRPr="00906EDA" w:rsidRDefault="001B02C4" w:rsidP="00823A10">
            <w:pPr>
              <w:spacing w:line="320" w:lineRule="exact"/>
              <w:rPr>
                <w:sz w:val="14"/>
                <w:szCs w:val="14"/>
              </w:rPr>
            </w:pPr>
            <w:r w:rsidRPr="00906EDA">
              <w:rPr>
                <w:sz w:val="14"/>
                <w:szCs w:val="14"/>
              </w:rPr>
              <w:t>2. November 2023</w:t>
            </w:r>
          </w:p>
        </w:tc>
        <w:tc>
          <w:tcPr>
            <w:tcW w:w="1183" w:type="dxa"/>
            <w:tcBorders>
              <w:top w:val="single" w:sz="4" w:space="0" w:color="auto"/>
              <w:left w:val="single" w:sz="4" w:space="0" w:color="auto"/>
              <w:bottom w:val="single" w:sz="4" w:space="0" w:color="auto"/>
              <w:right w:val="single" w:sz="4" w:space="0" w:color="auto"/>
            </w:tcBorders>
          </w:tcPr>
          <w:p w14:paraId="0723611E" w14:textId="1C47360C" w:rsidR="003D68EA" w:rsidRPr="00906EDA" w:rsidRDefault="001B02C4" w:rsidP="00823A10">
            <w:pPr>
              <w:spacing w:line="320" w:lineRule="exact"/>
              <w:rPr>
                <w:sz w:val="14"/>
                <w:szCs w:val="14"/>
              </w:rPr>
            </w:pPr>
            <w:r w:rsidRPr="00906EDA">
              <w:rPr>
                <w:sz w:val="14"/>
                <w:szCs w:val="14"/>
              </w:rPr>
              <w:t>2027</w:t>
            </w:r>
          </w:p>
        </w:tc>
        <w:tc>
          <w:tcPr>
            <w:tcW w:w="2786" w:type="dxa"/>
            <w:tcBorders>
              <w:top w:val="single" w:sz="4" w:space="0" w:color="auto"/>
              <w:left w:val="single" w:sz="4" w:space="0" w:color="auto"/>
              <w:bottom w:val="single" w:sz="4" w:space="0" w:color="auto"/>
              <w:right w:val="single" w:sz="4" w:space="0" w:color="auto"/>
            </w:tcBorders>
          </w:tcPr>
          <w:p w14:paraId="73516029" w14:textId="19B321BF" w:rsidR="003D68EA" w:rsidRPr="00906EDA" w:rsidRDefault="001B02C4" w:rsidP="00823A10">
            <w:pPr>
              <w:spacing w:line="320" w:lineRule="exact"/>
              <w:rPr>
                <w:sz w:val="14"/>
                <w:szCs w:val="14"/>
              </w:rPr>
            </w:pPr>
            <w:r w:rsidRPr="00906EDA">
              <w:rPr>
                <w:sz w:val="14"/>
                <w:szCs w:val="14"/>
              </w:rPr>
              <w:t>keine</w:t>
            </w:r>
          </w:p>
        </w:tc>
        <w:tc>
          <w:tcPr>
            <w:tcW w:w="2542" w:type="dxa"/>
            <w:tcBorders>
              <w:top w:val="single" w:sz="4" w:space="0" w:color="auto"/>
              <w:left w:val="single" w:sz="4" w:space="0" w:color="auto"/>
              <w:bottom w:val="single" w:sz="4" w:space="0" w:color="auto"/>
              <w:right w:val="single" w:sz="4" w:space="0" w:color="auto"/>
            </w:tcBorders>
          </w:tcPr>
          <w:p w14:paraId="13E301CE" w14:textId="2898989A" w:rsidR="003D68EA" w:rsidRPr="00906EDA" w:rsidRDefault="001B02C4" w:rsidP="00823A10">
            <w:pPr>
              <w:spacing w:line="320" w:lineRule="exact"/>
              <w:rPr>
                <w:sz w:val="14"/>
                <w:szCs w:val="14"/>
              </w:rPr>
            </w:pPr>
            <w:r w:rsidRPr="00906EDA">
              <w:rPr>
                <w:sz w:val="14"/>
                <w:szCs w:val="14"/>
              </w:rPr>
              <w:t>keine</w:t>
            </w:r>
          </w:p>
        </w:tc>
      </w:tr>
      <w:tr w:rsidR="00AD0012" w:rsidRPr="00906EDA" w14:paraId="64F77873" w14:textId="77777777" w:rsidTr="00BA7E5A">
        <w:tc>
          <w:tcPr>
            <w:tcW w:w="0" w:type="auto"/>
            <w:tcBorders>
              <w:top w:val="single" w:sz="4" w:space="0" w:color="auto"/>
              <w:left w:val="single" w:sz="4" w:space="0" w:color="auto"/>
              <w:bottom w:val="single" w:sz="4" w:space="0" w:color="auto"/>
              <w:right w:val="single" w:sz="4" w:space="0" w:color="auto"/>
            </w:tcBorders>
          </w:tcPr>
          <w:p w14:paraId="0F402451" w14:textId="030F622A" w:rsidR="00AD0012" w:rsidRPr="00906EDA" w:rsidRDefault="00AD0012" w:rsidP="00AD0012">
            <w:pPr>
              <w:spacing w:line="320" w:lineRule="exact"/>
              <w:rPr>
                <w:sz w:val="14"/>
                <w:szCs w:val="14"/>
              </w:rPr>
            </w:pPr>
            <w:r w:rsidRPr="00906EDA">
              <w:rPr>
                <w:sz w:val="14"/>
                <w:szCs w:val="14"/>
              </w:rPr>
              <w:t xml:space="preserve">Dr. Jörg Wulfken </w:t>
            </w:r>
            <w:r w:rsidRPr="00906EDA">
              <w:rPr>
                <w:sz w:val="14"/>
                <w:szCs w:val="14"/>
              </w:rPr>
              <w:br/>
            </w:r>
          </w:p>
        </w:tc>
        <w:tc>
          <w:tcPr>
            <w:tcW w:w="0" w:type="auto"/>
            <w:tcBorders>
              <w:top w:val="single" w:sz="4" w:space="0" w:color="auto"/>
              <w:left w:val="single" w:sz="4" w:space="0" w:color="auto"/>
              <w:bottom w:val="single" w:sz="4" w:space="0" w:color="auto"/>
              <w:right w:val="single" w:sz="4" w:space="0" w:color="auto"/>
            </w:tcBorders>
          </w:tcPr>
          <w:p w14:paraId="2ABDF997" w14:textId="0035A88C" w:rsidR="00AD0012" w:rsidRPr="00906EDA" w:rsidRDefault="00AD0012" w:rsidP="00AD0012">
            <w:pPr>
              <w:spacing w:line="320" w:lineRule="exact"/>
              <w:rPr>
                <w:sz w:val="14"/>
                <w:szCs w:val="14"/>
              </w:rPr>
            </w:pPr>
            <w:r w:rsidRPr="00906EDA">
              <w:rPr>
                <w:sz w:val="14"/>
                <w:szCs w:val="14"/>
              </w:rPr>
              <w:t xml:space="preserve">Rechtsanwalt und Partner bei Figura </w:t>
            </w:r>
            <w:proofErr w:type="spellStart"/>
            <w:r w:rsidRPr="00906EDA">
              <w:rPr>
                <w:sz w:val="14"/>
                <w:szCs w:val="14"/>
              </w:rPr>
              <w:t>Müffelmann</w:t>
            </w:r>
            <w:proofErr w:type="spellEnd"/>
            <w:r w:rsidRPr="00906EDA">
              <w:rPr>
                <w:sz w:val="14"/>
                <w:szCs w:val="14"/>
              </w:rPr>
              <w:t xml:space="preserve"> &amp; Partner Rechtsanwälte, Bremen</w:t>
            </w:r>
          </w:p>
        </w:tc>
        <w:tc>
          <w:tcPr>
            <w:tcW w:w="0" w:type="auto"/>
            <w:tcBorders>
              <w:top w:val="single" w:sz="4" w:space="0" w:color="auto"/>
              <w:left w:val="single" w:sz="4" w:space="0" w:color="auto"/>
              <w:bottom w:val="single" w:sz="4" w:space="0" w:color="auto"/>
              <w:right w:val="single" w:sz="4" w:space="0" w:color="auto"/>
            </w:tcBorders>
          </w:tcPr>
          <w:p w14:paraId="551CD83E" w14:textId="258FBAAF" w:rsidR="00AD0012" w:rsidRPr="00906EDA" w:rsidRDefault="00AD0012" w:rsidP="00AD0012">
            <w:pPr>
              <w:spacing w:line="320" w:lineRule="exact"/>
              <w:rPr>
                <w:sz w:val="14"/>
                <w:szCs w:val="14"/>
              </w:rPr>
            </w:pPr>
            <w:r w:rsidRPr="00906EDA">
              <w:rPr>
                <w:sz w:val="14"/>
                <w:szCs w:val="14"/>
              </w:rPr>
              <w:t>1960</w:t>
            </w:r>
          </w:p>
        </w:tc>
        <w:tc>
          <w:tcPr>
            <w:tcW w:w="0" w:type="auto"/>
            <w:tcBorders>
              <w:top w:val="single" w:sz="4" w:space="0" w:color="auto"/>
              <w:left w:val="single" w:sz="4" w:space="0" w:color="auto"/>
              <w:bottom w:val="single" w:sz="4" w:space="0" w:color="auto"/>
              <w:right w:val="single" w:sz="4" w:space="0" w:color="auto"/>
            </w:tcBorders>
          </w:tcPr>
          <w:p w14:paraId="4EA099D0" w14:textId="15F9A26A" w:rsidR="00AD0012" w:rsidRPr="00906EDA" w:rsidRDefault="00AD0012" w:rsidP="00AD0012">
            <w:pPr>
              <w:spacing w:line="320" w:lineRule="exact"/>
              <w:rPr>
                <w:sz w:val="14"/>
                <w:szCs w:val="14"/>
              </w:rPr>
            </w:pPr>
            <w:r w:rsidRPr="00906EDA">
              <w:rPr>
                <w:sz w:val="14"/>
                <w:szCs w:val="14"/>
              </w:rPr>
              <w:t>Deutsch</w:t>
            </w:r>
          </w:p>
        </w:tc>
        <w:tc>
          <w:tcPr>
            <w:tcW w:w="1243" w:type="dxa"/>
            <w:tcBorders>
              <w:top w:val="single" w:sz="4" w:space="0" w:color="auto"/>
              <w:left w:val="single" w:sz="4" w:space="0" w:color="auto"/>
              <w:bottom w:val="single" w:sz="4" w:space="0" w:color="auto"/>
              <w:right w:val="single" w:sz="4" w:space="0" w:color="auto"/>
            </w:tcBorders>
          </w:tcPr>
          <w:p w14:paraId="0239B1DC" w14:textId="6AA54CA1" w:rsidR="00AD0012" w:rsidRPr="00906EDA" w:rsidRDefault="00AD0012" w:rsidP="00AD0012">
            <w:pPr>
              <w:spacing w:line="320" w:lineRule="exact"/>
              <w:rPr>
                <w:sz w:val="14"/>
                <w:szCs w:val="14"/>
              </w:rPr>
            </w:pPr>
            <w:r w:rsidRPr="00906EDA">
              <w:rPr>
                <w:sz w:val="14"/>
                <w:szCs w:val="14"/>
              </w:rPr>
              <w:t>22. Februar 2020</w:t>
            </w:r>
          </w:p>
        </w:tc>
        <w:tc>
          <w:tcPr>
            <w:tcW w:w="1183" w:type="dxa"/>
            <w:tcBorders>
              <w:top w:val="single" w:sz="4" w:space="0" w:color="auto"/>
              <w:left w:val="single" w:sz="4" w:space="0" w:color="auto"/>
              <w:bottom w:val="single" w:sz="4" w:space="0" w:color="auto"/>
              <w:right w:val="single" w:sz="4" w:space="0" w:color="auto"/>
            </w:tcBorders>
          </w:tcPr>
          <w:p w14:paraId="7A68EA9C" w14:textId="1EDCA1C1" w:rsidR="00AD0012" w:rsidRPr="00906EDA" w:rsidRDefault="00AD0012" w:rsidP="00AD0012">
            <w:pPr>
              <w:spacing w:line="320" w:lineRule="exact"/>
              <w:rPr>
                <w:sz w:val="14"/>
                <w:szCs w:val="14"/>
              </w:rPr>
            </w:pPr>
            <w:r w:rsidRPr="00906EDA">
              <w:rPr>
                <w:sz w:val="14"/>
                <w:szCs w:val="14"/>
              </w:rPr>
              <w:t>2030</w:t>
            </w:r>
          </w:p>
        </w:tc>
        <w:tc>
          <w:tcPr>
            <w:tcW w:w="2786" w:type="dxa"/>
            <w:tcBorders>
              <w:top w:val="single" w:sz="4" w:space="0" w:color="auto"/>
              <w:left w:val="single" w:sz="4" w:space="0" w:color="auto"/>
              <w:bottom w:val="single" w:sz="4" w:space="0" w:color="auto"/>
              <w:right w:val="single" w:sz="4" w:space="0" w:color="auto"/>
            </w:tcBorders>
          </w:tcPr>
          <w:p w14:paraId="25FD4A87" w14:textId="11363445" w:rsidR="00AD0012" w:rsidRPr="00906EDA" w:rsidRDefault="00AD0012" w:rsidP="00AD0012">
            <w:pPr>
              <w:spacing w:line="320" w:lineRule="exact"/>
              <w:rPr>
                <w:sz w:val="14"/>
                <w:szCs w:val="14"/>
              </w:rPr>
            </w:pPr>
            <w:r w:rsidRPr="00906EDA">
              <w:rPr>
                <w:sz w:val="14"/>
                <w:szCs w:val="14"/>
              </w:rPr>
              <w:t>keine</w:t>
            </w:r>
          </w:p>
        </w:tc>
        <w:tc>
          <w:tcPr>
            <w:tcW w:w="2542" w:type="dxa"/>
            <w:tcBorders>
              <w:top w:val="single" w:sz="4" w:space="0" w:color="auto"/>
              <w:left w:val="single" w:sz="4" w:space="0" w:color="auto"/>
              <w:bottom w:val="single" w:sz="4" w:space="0" w:color="auto"/>
              <w:right w:val="single" w:sz="4" w:space="0" w:color="auto"/>
            </w:tcBorders>
          </w:tcPr>
          <w:p w14:paraId="0120DE29" w14:textId="068CFCB6" w:rsidR="00AD0012" w:rsidRPr="00906EDA" w:rsidRDefault="00AD0012" w:rsidP="00AD0012">
            <w:pPr>
              <w:spacing w:line="320" w:lineRule="exact"/>
              <w:rPr>
                <w:sz w:val="14"/>
                <w:szCs w:val="14"/>
              </w:rPr>
            </w:pPr>
            <w:r w:rsidRPr="00906EDA">
              <w:rPr>
                <w:sz w:val="14"/>
                <w:szCs w:val="14"/>
              </w:rPr>
              <w:t xml:space="preserve">Vorsitzender des Aufsichtsrats der </w:t>
            </w:r>
            <w:r w:rsidR="00174ABC">
              <w:rPr>
                <w:sz w:val="14"/>
                <w:szCs w:val="14"/>
              </w:rPr>
              <w:br/>
            </w:r>
            <w:r w:rsidRPr="00906EDA">
              <w:rPr>
                <w:sz w:val="14"/>
                <w:szCs w:val="14"/>
              </w:rPr>
              <w:t>Georgian Credit, Tiflis, Georgien (nicht börsennotiert)</w:t>
            </w:r>
          </w:p>
        </w:tc>
      </w:tr>
      <w:tr w:rsidR="00823A10" w:rsidRPr="00906EDA" w14:paraId="0C939BBF" w14:textId="55626F91" w:rsidTr="00BA7E5A">
        <w:tc>
          <w:tcPr>
            <w:tcW w:w="0" w:type="auto"/>
            <w:tcBorders>
              <w:top w:val="single" w:sz="4" w:space="0" w:color="auto"/>
              <w:left w:val="single" w:sz="4" w:space="0" w:color="auto"/>
              <w:bottom w:val="single" w:sz="4" w:space="0" w:color="auto"/>
              <w:right w:val="single" w:sz="4" w:space="0" w:color="auto"/>
            </w:tcBorders>
            <w:hideMark/>
          </w:tcPr>
          <w:p w14:paraId="46E620BB" w14:textId="5CEAFB05" w:rsidR="00823A10" w:rsidRPr="00645E94" w:rsidRDefault="00823A10" w:rsidP="00823A10">
            <w:pPr>
              <w:spacing w:line="320" w:lineRule="exact"/>
              <w:rPr>
                <w:i/>
                <w:iCs/>
                <w:sz w:val="14"/>
                <w:szCs w:val="14"/>
              </w:rPr>
            </w:pPr>
            <w:r w:rsidRPr="00645E94">
              <w:rPr>
                <w:i/>
                <w:iCs/>
                <w:sz w:val="14"/>
                <w:szCs w:val="14"/>
              </w:rPr>
              <w:t xml:space="preserve">Dr. Maximilian </w:t>
            </w:r>
            <w:r w:rsidRPr="00645E94">
              <w:rPr>
                <w:i/>
                <w:iCs/>
                <w:sz w:val="14"/>
                <w:szCs w:val="14"/>
              </w:rPr>
              <w:br/>
              <w:t>Zimmerer</w:t>
            </w:r>
            <w:r w:rsidR="00893DFC" w:rsidRPr="00645E94">
              <w:rPr>
                <w:rStyle w:val="Funotenzeichen"/>
                <w:i/>
                <w:iCs/>
                <w:sz w:val="14"/>
                <w:szCs w:val="14"/>
              </w:rPr>
              <w:footnoteReference w:id="3"/>
            </w:r>
          </w:p>
        </w:tc>
        <w:tc>
          <w:tcPr>
            <w:tcW w:w="0" w:type="auto"/>
            <w:tcBorders>
              <w:top w:val="single" w:sz="4" w:space="0" w:color="auto"/>
              <w:left w:val="single" w:sz="4" w:space="0" w:color="auto"/>
              <w:bottom w:val="single" w:sz="4" w:space="0" w:color="auto"/>
              <w:right w:val="single" w:sz="4" w:space="0" w:color="auto"/>
            </w:tcBorders>
            <w:hideMark/>
          </w:tcPr>
          <w:p w14:paraId="058284DF" w14:textId="027E999D" w:rsidR="00823A10" w:rsidRPr="00906EDA" w:rsidRDefault="00823A10" w:rsidP="00823A10">
            <w:pPr>
              <w:spacing w:line="320" w:lineRule="exact"/>
              <w:rPr>
                <w:sz w:val="14"/>
                <w:szCs w:val="14"/>
              </w:rPr>
            </w:pPr>
            <w:r w:rsidRPr="00906EDA">
              <w:rPr>
                <w:sz w:val="14"/>
                <w:szCs w:val="14"/>
              </w:rPr>
              <w:t xml:space="preserve">Aufsichtsrat, </w:t>
            </w:r>
            <w:r w:rsidR="00BF315C" w:rsidRPr="00906EDA">
              <w:rPr>
                <w:sz w:val="14"/>
                <w:szCs w:val="14"/>
              </w:rPr>
              <w:t>Feldafing</w:t>
            </w:r>
          </w:p>
        </w:tc>
        <w:tc>
          <w:tcPr>
            <w:tcW w:w="0" w:type="auto"/>
            <w:tcBorders>
              <w:top w:val="single" w:sz="4" w:space="0" w:color="auto"/>
              <w:left w:val="single" w:sz="4" w:space="0" w:color="auto"/>
              <w:bottom w:val="single" w:sz="4" w:space="0" w:color="auto"/>
              <w:right w:val="single" w:sz="4" w:space="0" w:color="auto"/>
            </w:tcBorders>
            <w:hideMark/>
          </w:tcPr>
          <w:p w14:paraId="7B3017CE" w14:textId="77777777" w:rsidR="00823A10" w:rsidRPr="00906EDA" w:rsidRDefault="00823A10" w:rsidP="00823A10">
            <w:pPr>
              <w:spacing w:line="320" w:lineRule="exact"/>
              <w:rPr>
                <w:sz w:val="14"/>
                <w:szCs w:val="14"/>
              </w:rPr>
            </w:pPr>
            <w:r w:rsidRPr="00906EDA">
              <w:rPr>
                <w:sz w:val="14"/>
                <w:szCs w:val="14"/>
              </w:rPr>
              <w:t>1958</w:t>
            </w:r>
          </w:p>
        </w:tc>
        <w:tc>
          <w:tcPr>
            <w:tcW w:w="0" w:type="auto"/>
            <w:tcBorders>
              <w:top w:val="single" w:sz="4" w:space="0" w:color="auto"/>
              <w:left w:val="single" w:sz="4" w:space="0" w:color="auto"/>
              <w:bottom w:val="single" w:sz="4" w:space="0" w:color="auto"/>
              <w:right w:val="single" w:sz="4" w:space="0" w:color="auto"/>
            </w:tcBorders>
            <w:hideMark/>
          </w:tcPr>
          <w:p w14:paraId="7F0E2DE5" w14:textId="611200ED" w:rsidR="00823A10" w:rsidRPr="00906EDA" w:rsidRDefault="00823A10" w:rsidP="00823A10">
            <w:pPr>
              <w:spacing w:line="320" w:lineRule="exact"/>
              <w:rPr>
                <w:sz w:val="14"/>
                <w:szCs w:val="14"/>
              </w:rPr>
            </w:pPr>
            <w:r w:rsidRPr="00906EDA">
              <w:rPr>
                <w:sz w:val="14"/>
                <w:szCs w:val="14"/>
              </w:rPr>
              <w:t>Deutsch</w:t>
            </w:r>
          </w:p>
        </w:tc>
        <w:tc>
          <w:tcPr>
            <w:tcW w:w="1243" w:type="dxa"/>
            <w:tcBorders>
              <w:top w:val="single" w:sz="4" w:space="0" w:color="auto"/>
              <w:left w:val="single" w:sz="4" w:space="0" w:color="auto"/>
              <w:bottom w:val="single" w:sz="4" w:space="0" w:color="auto"/>
              <w:right w:val="single" w:sz="4" w:space="0" w:color="auto"/>
            </w:tcBorders>
            <w:hideMark/>
          </w:tcPr>
          <w:p w14:paraId="5E03B854" w14:textId="6279BF9C" w:rsidR="00823A10" w:rsidRPr="00906EDA" w:rsidRDefault="00823A10" w:rsidP="00823A10">
            <w:pPr>
              <w:spacing w:line="320" w:lineRule="exact"/>
              <w:rPr>
                <w:sz w:val="14"/>
                <w:szCs w:val="14"/>
              </w:rPr>
            </w:pPr>
            <w:r w:rsidRPr="00906EDA">
              <w:rPr>
                <w:sz w:val="14"/>
                <w:szCs w:val="14"/>
              </w:rPr>
              <w:t>21. Februar 2019</w:t>
            </w:r>
          </w:p>
        </w:tc>
        <w:tc>
          <w:tcPr>
            <w:tcW w:w="1183" w:type="dxa"/>
            <w:tcBorders>
              <w:top w:val="single" w:sz="4" w:space="0" w:color="auto"/>
              <w:left w:val="single" w:sz="4" w:space="0" w:color="auto"/>
              <w:bottom w:val="single" w:sz="4" w:space="0" w:color="auto"/>
              <w:right w:val="single" w:sz="4" w:space="0" w:color="auto"/>
            </w:tcBorders>
            <w:hideMark/>
          </w:tcPr>
          <w:p w14:paraId="4FC35E62" w14:textId="29A4AECD" w:rsidR="00823A10" w:rsidRPr="00906EDA" w:rsidRDefault="00823A10" w:rsidP="00823A10">
            <w:pPr>
              <w:spacing w:line="320" w:lineRule="exact"/>
              <w:rPr>
                <w:sz w:val="14"/>
                <w:szCs w:val="14"/>
              </w:rPr>
            </w:pPr>
            <w:r w:rsidRPr="00906EDA">
              <w:rPr>
                <w:sz w:val="14"/>
                <w:szCs w:val="14"/>
              </w:rPr>
              <w:t>202</w:t>
            </w:r>
            <w:r w:rsidR="001B02C4" w:rsidRPr="00906EDA">
              <w:rPr>
                <w:sz w:val="14"/>
                <w:szCs w:val="14"/>
              </w:rPr>
              <w:t>8</w:t>
            </w:r>
          </w:p>
        </w:tc>
        <w:tc>
          <w:tcPr>
            <w:tcW w:w="2786" w:type="dxa"/>
            <w:tcBorders>
              <w:top w:val="single" w:sz="4" w:space="0" w:color="auto"/>
              <w:left w:val="single" w:sz="4" w:space="0" w:color="auto"/>
              <w:bottom w:val="single" w:sz="4" w:space="0" w:color="auto"/>
              <w:right w:val="single" w:sz="4" w:space="0" w:color="auto"/>
            </w:tcBorders>
            <w:hideMark/>
          </w:tcPr>
          <w:p w14:paraId="2E76547A" w14:textId="2C1F8C19" w:rsidR="00823A10" w:rsidRPr="00906EDA" w:rsidRDefault="00823A10" w:rsidP="00854B43">
            <w:pPr>
              <w:pStyle w:val="Listenabsatz"/>
              <w:numPr>
                <w:ilvl w:val="0"/>
                <w:numId w:val="15"/>
              </w:numPr>
              <w:spacing w:line="320" w:lineRule="exact"/>
              <w:ind w:left="117" w:hanging="117"/>
              <w:rPr>
                <w:sz w:val="14"/>
                <w:szCs w:val="14"/>
              </w:rPr>
            </w:pPr>
            <w:r w:rsidRPr="00906EDA">
              <w:rPr>
                <w:sz w:val="14"/>
                <w:szCs w:val="14"/>
              </w:rPr>
              <w:t>Mitglied des Aufsichtsrats der Münchener Rückversicherungs-Gesellschaft Aktiengesellschaft in München (börsennotiert)</w:t>
            </w:r>
          </w:p>
        </w:tc>
        <w:tc>
          <w:tcPr>
            <w:tcW w:w="2542" w:type="dxa"/>
            <w:tcBorders>
              <w:top w:val="single" w:sz="4" w:space="0" w:color="auto"/>
              <w:left w:val="single" w:sz="4" w:space="0" w:color="auto"/>
              <w:bottom w:val="single" w:sz="4" w:space="0" w:color="auto"/>
              <w:right w:val="single" w:sz="4" w:space="0" w:color="auto"/>
            </w:tcBorders>
          </w:tcPr>
          <w:p w14:paraId="3C5F032A" w14:textId="54E5E41F" w:rsidR="00823A10" w:rsidRPr="00906EDA" w:rsidRDefault="00854B43" w:rsidP="00854B43">
            <w:pPr>
              <w:pStyle w:val="Listenabsatz"/>
              <w:numPr>
                <w:ilvl w:val="0"/>
                <w:numId w:val="15"/>
              </w:numPr>
              <w:spacing w:line="320" w:lineRule="exact"/>
              <w:ind w:left="117" w:hanging="117"/>
              <w:rPr>
                <w:sz w:val="14"/>
                <w:szCs w:val="14"/>
              </w:rPr>
            </w:pPr>
            <w:r w:rsidRPr="00906EDA">
              <w:rPr>
                <w:sz w:val="14"/>
                <w:szCs w:val="14"/>
              </w:rPr>
              <w:t xml:space="preserve">Mitglied des Aufsichtsrats der </w:t>
            </w:r>
            <w:r w:rsidRPr="00906EDA">
              <w:rPr>
                <w:sz w:val="14"/>
                <w:szCs w:val="14"/>
              </w:rPr>
              <w:br/>
              <w:t xml:space="preserve">KfW Capital GmbH &amp; </w:t>
            </w:r>
            <w:r w:rsidR="009224E4" w:rsidRPr="00906EDA">
              <w:rPr>
                <w:sz w:val="14"/>
                <w:szCs w:val="14"/>
              </w:rPr>
              <w:t>C</w:t>
            </w:r>
            <w:r w:rsidRPr="00906EDA">
              <w:rPr>
                <w:sz w:val="14"/>
                <w:szCs w:val="14"/>
              </w:rPr>
              <w:t xml:space="preserve">o. KG, </w:t>
            </w:r>
            <w:r w:rsidRPr="00906EDA">
              <w:rPr>
                <w:sz w:val="14"/>
                <w:szCs w:val="14"/>
              </w:rPr>
              <w:br/>
              <w:t>Frankfurt am Main</w:t>
            </w:r>
          </w:p>
        </w:tc>
      </w:tr>
      <w:bookmarkEnd w:id="8"/>
    </w:tbl>
    <w:p w14:paraId="064FFCE7" w14:textId="2ADCDAEC" w:rsidR="003D1970" w:rsidRPr="00906EDA" w:rsidRDefault="003D1970" w:rsidP="00B37DDF">
      <w:pPr>
        <w:spacing w:line="320" w:lineRule="exact"/>
        <w:sectPr w:rsidR="003D1970" w:rsidRPr="00906EDA" w:rsidSect="004E1B71">
          <w:pgSz w:w="16840" w:h="11907" w:orient="landscape" w:code="9"/>
          <w:pgMar w:top="1134" w:right="1535" w:bottom="993" w:left="1134" w:header="851" w:footer="720" w:gutter="0"/>
          <w:cols w:space="720"/>
          <w:titlePg/>
          <w:docGrid w:linePitch="326"/>
        </w:sectPr>
      </w:pPr>
    </w:p>
    <w:p w14:paraId="0E740C40" w14:textId="7F1FE98F" w:rsidR="0075490F" w:rsidRPr="00906EDA" w:rsidRDefault="00040A83" w:rsidP="008E0CC7">
      <w:pPr>
        <w:pStyle w:val="berschrift2"/>
      </w:pPr>
      <w:r w:rsidRPr="00906EDA">
        <w:lastRenderedPageBreak/>
        <w:t>Selbstbeurteilung der Arbeit des Aufsichtsrats und seiner Ausschüsse</w:t>
      </w:r>
    </w:p>
    <w:p w14:paraId="3BC6B8C7" w14:textId="6BCE335D" w:rsidR="0075490F" w:rsidRPr="00906EDA" w:rsidRDefault="00040A83" w:rsidP="00B37DDF">
      <w:pPr>
        <w:spacing w:line="320" w:lineRule="exact"/>
        <w:ind w:right="1700"/>
        <w:jc w:val="both"/>
      </w:pPr>
      <w:r w:rsidRPr="00906EDA">
        <w:t xml:space="preserve">Der Aufsichtsrat </w:t>
      </w:r>
      <w:r w:rsidR="00047819" w:rsidRPr="00906EDA">
        <w:t>beurteilt regelmäßig</w:t>
      </w:r>
      <w:r w:rsidRPr="00906EDA">
        <w:t>, wie wirksam der Aufsichtsrat insgesamt und seine Ausschüsse ihre Aufgaben erfüllen.</w:t>
      </w:r>
      <w:r w:rsidR="00A72022" w:rsidRPr="00906EDA">
        <w:t xml:space="preserve"> </w:t>
      </w:r>
      <w:r w:rsidR="00057822" w:rsidRPr="00906EDA">
        <w:t>Der Aufsichtsrat hat</w:t>
      </w:r>
      <w:r w:rsidR="00F50DAB" w:rsidRPr="00906EDA">
        <w:t xml:space="preserve"> </w:t>
      </w:r>
      <w:r w:rsidR="00047819" w:rsidRPr="00906EDA">
        <w:t>i</w:t>
      </w:r>
      <w:r w:rsidRPr="00906EDA">
        <w:t>m</w:t>
      </w:r>
      <w:r w:rsidR="00826B3C" w:rsidRPr="00906EDA">
        <w:t xml:space="preserve"> </w:t>
      </w:r>
      <w:r w:rsidRPr="00906EDA">
        <w:t xml:space="preserve">Geschäftsjahr </w:t>
      </w:r>
      <w:r w:rsidR="00D7007E" w:rsidRPr="00906EDA">
        <w:t>2025 unter Einschaltung externer Berater</w:t>
      </w:r>
      <w:r w:rsidR="00265545" w:rsidRPr="00906EDA">
        <w:t xml:space="preserve"> </w:t>
      </w:r>
      <w:r w:rsidRPr="00906EDA">
        <w:t xml:space="preserve">eine </w:t>
      </w:r>
      <w:r w:rsidR="00047819" w:rsidRPr="00906EDA">
        <w:t>Selbstbeurteilung</w:t>
      </w:r>
      <w:r w:rsidRPr="00906EDA">
        <w:t xml:space="preserve"> durchgeführt.</w:t>
      </w:r>
      <w:r w:rsidR="00826B3C" w:rsidRPr="00906EDA">
        <w:t xml:space="preserve"> </w:t>
      </w:r>
      <w:r w:rsidRPr="00906EDA">
        <w:t>Die Ergebnisse d</w:t>
      </w:r>
      <w:r w:rsidR="00057822" w:rsidRPr="00906EDA">
        <w:t>ies</w:t>
      </w:r>
      <w:r w:rsidRPr="00906EDA">
        <w:t xml:space="preserve">er </w:t>
      </w:r>
      <w:r w:rsidR="00A72022" w:rsidRPr="00906EDA">
        <w:t>Selbstbeurteilung</w:t>
      </w:r>
      <w:r w:rsidRPr="00906EDA">
        <w:t xml:space="preserve"> bestätig</w:t>
      </w:r>
      <w:r w:rsidR="00265545" w:rsidRPr="00906EDA">
        <w:t>t</w:t>
      </w:r>
      <w:r w:rsidRPr="00906EDA">
        <w:t xml:space="preserve">en eine professionelle, konstruktive und von einem hohen Maß an Vertrauen und Offenheit geprägte Zusammenarbeit </w:t>
      </w:r>
      <w:r w:rsidR="001E4371">
        <w:t xml:space="preserve">sowohl </w:t>
      </w:r>
      <w:r w:rsidRPr="00906EDA">
        <w:t xml:space="preserve">innerhalb des </w:t>
      </w:r>
      <w:r w:rsidR="008A732B" w:rsidRPr="00906EDA">
        <w:t>Gremiums</w:t>
      </w:r>
      <w:r w:rsidR="00047819" w:rsidRPr="00906EDA">
        <w:t xml:space="preserve"> und </w:t>
      </w:r>
      <w:r w:rsidR="009A650C" w:rsidRPr="00906EDA">
        <w:t>seiner</w:t>
      </w:r>
      <w:r w:rsidR="00047819" w:rsidRPr="00906EDA">
        <w:t xml:space="preserve"> Ausschüsse</w:t>
      </w:r>
      <w:r w:rsidRPr="00906EDA">
        <w:t xml:space="preserve"> </w:t>
      </w:r>
      <w:r w:rsidR="008A732B" w:rsidRPr="00906EDA">
        <w:t>als auch</w:t>
      </w:r>
      <w:r w:rsidRPr="00906EDA">
        <w:t xml:space="preserve"> mit dem Vorstand. Auch bestätig</w:t>
      </w:r>
      <w:r w:rsidR="00265545" w:rsidRPr="00906EDA">
        <w:t>t</w:t>
      </w:r>
      <w:r w:rsidRPr="00906EDA">
        <w:t xml:space="preserve">en die Ergebnisse eine effiziente Sitzungsorganisation und -durchführung und eine angemessene Informationsversorgung. </w:t>
      </w:r>
      <w:r w:rsidR="009A650C" w:rsidRPr="00906EDA">
        <w:t>Ein g</w:t>
      </w:r>
      <w:r w:rsidRPr="00906EDA">
        <w:t>rundsätzlicher Veränderungsbedarf hat sich nicht gezeigt.</w:t>
      </w:r>
    </w:p>
    <w:p w14:paraId="14209C52" w14:textId="77777777" w:rsidR="00B30032" w:rsidRPr="00906EDA" w:rsidRDefault="00B30032" w:rsidP="00B37DDF">
      <w:pPr>
        <w:spacing w:line="320" w:lineRule="exact"/>
        <w:ind w:right="1700"/>
        <w:jc w:val="both"/>
        <w:rPr>
          <w:szCs w:val="24"/>
        </w:rPr>
      </w:pPr>
    </w:p>
    <w:p w14:paraId="6EDE1798" w14:textId="0D71DD53" w:rsidR="00B30032" w:rsidRPr="00906EDA" w:rsidRDefault="00040A83" w:rsidP="00B37DDF">
      <w:pPr>
        <w:pStyle w:val="berschrift1"/>
        <w:spacing w:line="320" w:lineRule="exact"/>
      </w:pPr>
      <w:r w:rsidRPr="00906EDA">
        <w:t xml:space="preserve">4. Angaben zu Zielgrößen für den Anteil </w:t>
      </w:r>
      <w:r w:rsidR="009A650C" w:rsidRPr="00906EDA">
        <w:t>von Frauen sowie Ziele für die Zusammensetzung des Aufsichtsrats</w:t>
      </w:r>
      <w:r w:rsidRPr="00906EDA">
        <w:t xml:space="preserve"> </w:t>
      </w:r>
    </w:p>
    <w:p w14:paraId="64E2C5C4" w14:textId="77777777" w:rsidR="00CA1010" w:rsidRPr="00906EDA" w:rsidRDefault="00CA1010" w:rsidP="008E0CC7">
      <w:pPr>
        <w:spacing w:line="320" w:lineRule="exact"/>
        <w:ind w:right="1700"/>
        <w:jc w:val="both"/>
        <w:rPr>
          <w:b/>
          <w:szCs w:val="24"/>
        </w:rPr>
      </w:pPr>
    </w:p>
    <w:p w14:paraId="1F627B2C" w14:textId="09B0F63A" w:rsidR="0075490F" w:rsidRPr="00906EDA" w:rsidRDefault="00040A83" w:rsidP="00B37DDF">
      <w:pPr>
        <w:pStyle w:val="berschrift2"/>
      </w:pPr>
      <w:r w:rsidRPr="00906EDA">
        <w:t xml:space="preserve">Angaben zu Zielgrößen für den Anteil weiblicher Mitglieder im Aufsichtsrat, im Vorstand und in den beiden Führungsebenen unterhalb des Vorstands </w:t>
      </w:r>
    </w:p>
    <w:p w14:paraId="593C1DED" w14:textId="4B2A21E0" w:rsidR="00B30032" w:rsidRPr="00906EDA" w:rsidRDefault="00040A83" w:rsidP="00B37DDF">
      <w:pPr>
        <w:spacing w:line="320" w:lineRule="exact"/>
        <w:ind w:right="1700"/>
        <w:jc w:val="both"/>
        <w:rPr>
          <w:szCs w:val="24"/>
        </w:rPr>
      </w:pPr>
      <w:r w:rsidRPr="00906EDA">
        <w:rPr>
          <w:szCs w:val="24"/>
        </w:rPr>
        <w:t xml:space="preserve">Die DBAG ist als börsennotierte, nicht dem Mitbestimmungsgesetz unterliegende Gesellschaft verpflichtet, Zielgrößen für den </w:t>
      </w:r>
      <w:r w:rsidR="003E3421" w:rsidRPr="00906EDA">
        <w:rPr>
          <w:szCs w:val="24"/>
        </w:rPr>
        <w:t>Anteil von Frauen</w:t>
      </w:r>
      <w:r w:rsidRPr="00906EDA">
        <w:rPr>
          <w:szCs w:val="24"/>
        </w:rPr>
        <w:t xml:space="preserve"> im Aufsichtsrat, im Vorstand und in den beiden Führungsebenen unterhalb des Vorstands </w:t>
      </w:r>
      <w:r w:rsidR="003E3421" w:rsidRPr="00906EDA">
        <w:rPr>
          <w:szCs w:val="24"/>
        </w:rPr>
        <w:t xml:space="preserve">sowie </w:t>
      </w:r>
      <w:r w:rsidRPr="00906EDA">
        <w:rPr>
          <w:szCs w:val="24"/>
        </w:rPr>
        <w:t xml:space="preserve">Fristen </w:t>
      </w:r>
      <w:r w:rsidR="003E3421" w:rsidRPr="00906EDA">
        <w:rPr>
          <w:szCs w:val="24"/>
        </w:rPr>
        <w:t>für die Ziele</w:t>
      </w:r>
      <w:r w:rsidRPr="00906EDA">
        <w:rPr>
          <w:szCs w:val="24"/>
        </w:rPr>
        <w:t>rreichung festzulegen.</w:t>
      </w:r>
    </w:p>
    <w:p w14:paraId="7254E2BD" w14:textId="77777777" w:rsidR="00B30032" w:rsidRPr="00906EDA" w:rsidRDefault="00B30032" w:rsidP="00B37DDF">
      <w:pPr>
        <w:spacing w:line="320" w:lineRule="exact"/>
        <w:ind w:right="1700"/>
        <w:jc w:val="both"/>
        <w:rPr>
          <w:szCs w:val="24"/>
        </w:rPr>
      </w:pPr>
    </w:p>
    <w:p w14:paraId="3D8B5E1A" w14:textId="3A8A2AF7" w:rsidR="00B30032" w:rsidRPr="00906EDA" w:rsidRDefault="00040A83" w:rsidP="00B37DDF">
      <w:pPr>
        <w:spacing w:line="320" w:lineRule="exact"/>
        <w:ind w:right="1700"/>
        <w:jc w:val="both"/>
        <w:rPr>
          <w:szCs w:val="24"/>
        </w:rPr>
      </w:pPr>
      <w:r w:rsidRPr="00906EDA">
        <w:rPr>
          <w:szCs w:val="24"/>
        </w:rPr>
        <w:t xml:space="preserve">Die Zielgrößen für den Frauenanteil </w:t>
      </w:r>
      <w:r w:rsidR="00541CD7" w:rsidRPr="00906EDA">
        <w:rPr>
          <w:szCs w:val="24"/>
        </w:rPr>
        <w:t>im</w:t>
      </w:r>
      <w:r w:rsidRPr="00906EDA">
        <w:rPr>
          <w:szCs w:val="24"/>
        </w:rPr>
        <w:t xml:space="preserve"> Aufsichtsrat und </w:t>
      </w:r>
      <w:r w:rsidR="00541CD7" w:rsidRPr="00906EDA">
        <w:rPr>
          <w:szCs w:val="24"/>
        </w:rPr>
        <w:t xml:space="preserve">im </w:t>
      </w:r>
      <w:r w:rsidRPr="00906EDA">
        <w:rPr>
          <w:szCs w:val="24"/>
        </w:rPr>
        <w:t xml:space="preserve">Vorstand legt der Aufsichtsrat fest. Er hat in seiner Sitzung </w:t>
      </w:r>
      <w:r w:rsidR="0039630C" w:rsidRPr="00906EDA">
        <w:rPr>
          <w:szCs w:val="24"/>
        </w:rPr>
        <w:t>im</w:t>
      </w:r>
      <w:r w:rsidRPr="00906EDA">
        <w:rPr>
          <w:szCs w:val="24"/>
        </w:rPr>
        <w:t xml:space="preserve"> Mai </w:t>
      </w:r>
      <w:r w:rsidR="00466243" w:rsidRPr="00906EDA">
        <w:rPr>
          <w:szCs w:val="24"/>
        </w:rPr>
        <w:t>2025</w:t>
      </w:r>
      <w:r w:rsidR="003801C4" w:rsidRPr="00906EDA">
        <w:rPr>
          <w:szCs w:val="24"/>
        </w:rPr>
        <w:t xml:space="preserve"> </w:t>
      </w:r>
      <w:r w:rsidR="00541CD7" w:rsidRPr="00906EDA">
        <w:rPr>
          <w:szCs w:val="24"/>
        </w:rPr>
        <w:t xml:space="preserve">mit Wirkung </w:t>
      </w:r>
      <w:r w:rsidR="006B74B7" w:rsidRPr="00906EDA">
        <w:rPr>
          <w:szCs w:val="24"/>
        </w:rPr>
        <w:t>ab</w:t>
      </w:r>
      <w:r w:rsidR="00541CD7" w:rsidRPr="00906EDA">
        <w:rPr>
          <w:szCs w:val="24"/>
        </w:rPr>
        <w:t xml:space="preserve"> 1.</w:t>
      </w:r>
      <w:r w:rsidR="0039630C" w:rsidRPr="00906EDA">
        <w:rPr>
          <w:szCs w:val="24"/>
        </w:rPr>
        <w:t> </w:t>
      </w:r>
      <w:r w:rsidR="00541CD7" w:rsidRPr="00906EDA">
        <w:rPr>
          <w:szCs w:val="24"/>
        </w:rPr>
        <w:t>Juli 202</w:t>
      </w:r>
      <w:r w:rsidR="00466243" w:rsidRPr="00906EDA">
        <w:rPr>
          <w:szCs w:val="24"/>
        </w:rPr>
        <w:t>5</w:t>
      </w:r>
      <w:r w:rsidR="00541CD7" w:rsidRPr="00906EDA">
        <w:rPr>
          <w:szCs w:val="24"/>
        </w:rPr>
        <w:t xml:space="preserve"> </w:t>
      </w:r>
      <w:r w:rsidRPr="00906EDA">
        <w:rPr>
          <w:szCs w:val="24"/>
        </w:rPr>
        <w:t xml:space="preserve">beschlossen, </w:t>
      </w:r>
      <w:r w:rsidR="00466243" w:rsidRPr="00906EDA">
        <w:rPr>
          <w:bCs/>
          <w:szCs w:val="24"/>
        </w:rPr>
        <w:t xml:space="preserve">dass die Zielgröße für den Frauenanteil im Aufsichtsrat eine Frau und dass die Zielgröße für den Frauenanteil im Vorstand </w:t>
      </w:r>
      <w:r w:rsidR="001E4371">
        <w:rPr>
          <w:bCs/>
          <w:szCs w:val="24"/>
        </w:rPr>
        <w:t>n</w:t>
      </w:r>
      <w:r w:rsidR="00466243" w:rsidRPr="00906EDA">
        <w:rPr>
          <w:bCs/>
          <w:szCs w:val="24"/>
        </w:rPr>
        <w:t>ull betragen soll. Zur Erreichung der Zielgrößen wurde eine Frist bis zum 30. Juni 2030 bestimmt</w:t>
      </w:r>
      <w:r w:rsidRPr="00906EDA">
        <w:rPr>
          <w:szCs w:val="24"/>
        </w:rPr>
        <w:t>. Diese Ziel</w:t>
      </w:r>
      <w:r w:rsidR="00466243" w:rsidRPr="00906EDA">
        <w:rPr>
          <w:szCs w:val="24"/>
        </w:rPr>
        <w:t>e</w:t>
      </w:r>
      <w:r w:rsidRPr="00906EDA">
        <w:rPr>
          <w:szCs w:val="24"/>
        </w:rPr>
        <w:t xml:space="preserve"> </w:t>
      </w:r>
      <w:r w:rsidR="00265545" w:rsidRPr="00906EDA">
        <w:rPr>
          <w:szCs w:val="24"/>
        </w:rPr>
        <w:t>war</w:t>
      </w:r>
      <w:r w:rsidR="00466243" w:rsidRPr="00906EDA">
        <w:rPr>
          <w:szCs w:val="24"/>
        </w:rPr>
        <w:t>en</w:t>
      </w:r>
      <w:r w:rsidR="00265545" w:rsidRPr="00906EDA">
        <w:rPr>
          <w:szCs w:val="24"/>
        </w:rPr>
        <w:t xml:space="preserve"> für den Aufsichtsrat und für den Vorstand im</w:t>
      </w:r>
      <w:r w:rsidR="00466243" w:rsidRPr="00906EDA">
        <w:rPr>
          <w:szCs w:val="24"/>
        </w:rPr>
        <w:t xml:space="preserve"> Geschäftsjahr</w:t>
      </w:r>
      <w:r w:rsidR="00F50DAB" w:rsidRPr="00906EDA">
        <w:rPr>
          <w:szCs w:val="24"/>
        </w:rPr>
        <w:t xml:space="preserve"> zum 31. Dezember 202</w:t>
      </w:r>
      <w:r w:rsidR="00466243" w:rsidRPr="00906EDA">
        <w:rPr>
          <w:szCs w:val="24"/>
        </w:rPr>
        <w:t>5</w:t>
      </w:r>
      <w:r w:rsidR="00265545" w:rsidRPr="00906EDA">
        <w:rPr>
          <w:szCs w:val="24"/>
        </w:rPr>
        <w:t xml:space="preserve"> erreicht.</w:t>
      </w:r>
    </w:p>
    <w:p w14:paraId="26A5E596" w14:textId="77777777" w:rsidR="00B30032" w:rsidRPr="00906EDA" w:rsidRDefault="00B30032" w:rsidP="00B37DDF">
      <w:pPr>
        <w:spacing w:line="320" w:lineRule="exact"/>
        <w:ind w:right="1700"/>
        <w:jc w:val="both"/>
        <w:rPr>
          <w:szCs w:val="24"/>
        </w:rPr>
      </w:pPr>
    </w:p>
    <w:p w14:paraId="21E539D7" w14:textId="619F063E" w:rsidR="00D13088" w:rsidRPr="00906EDA" w:rsidRDefault="00040A83" w:rsidP="00B37DDF">
      <w:pPr>
        <w:spacing w:line="320" w:lineRule="exact"/>
        <w:ind w:right="1700"/>
        <w:jc w:val="both"/>
        <w:rPr>
          <w:szCs w:val="24"/>
        </w:rPr>
      </w:pPr>
      <w:r w:rsidRPr="00906EDA">
        <w:rPr>
          <w:szCs w:val="24"/>
        </w:rPr>
        <w:t xml:space="preserve">Die Zielgrößen für den Frauenanteil in den beiden Führungsebenen unterhalb des Vorstands festzulegen, obliegt dem Vorstand der Gesellschaft. </w:t>
      </w:r>
      <w:r w:rsidR="00107D4F" w:rsidRPr="00906EDA">
        <w:rPr>
          <w:szCs w:val="24"/>
        </w:rPr>
        <w:t xml:space="preserve">Der Vorstand der DBAG setzt sich für eine gleichberechtigte Teilhabe von Frauen und Männern an Führungspositionen ein. </w:t>
      </w:r>
      <w:r w:rsidR="00D43F69" w:rsidRPr="00906EDA">
        <w:rPr>
          <w:szCs w:val="24"/>
        </w:rPr>
        <w:t>Außerdem achtet der Vorstand bei der</w:t>
      </w:r>
      <w:r w:rsidR="00151278" w:rsidRPr="00906EDA">
        <w:rPr>
          <w:szCs w:val="24"/>
        </w:rPr>
        <w:t xml:space="preserve"> Besetzung von Führungsposit</w:t>
      </w:r>
      <w:r w:rsidR="002B2F87" w:rsidRPr="00906EDA">
        <w:rPr>
          <w:szCs w:val="24"/>
        </w:rPr>
        <w:t>io</w:t>
      </w:r>
      <w:r w:rsidR="00151278" w:rsidRPr="00906EDA">
        <w:rPr>
          <w:szCs w:val="24"/>
        </w:rPr>
        <w:t>nen und</w:t>
      </w:r>
      <w:r w:rsidR="00166172" w:rsidRPr="00906EDA">
        <w:rPr>
          <w:szCs w:val="24"/>
        </w:rPr>
        <w:t xml:space="preserve"> </w:t>
      </w:r>
      <w:r w:rsidR="002B2F87" w:rsidRPr="00906EDA">
        <w:rPr>
          <w:szCs w:val="24"/>
        </w:rPr>
        <w:t>generell bei der Stellenbesetzung</w:t>
      </w:r>
      <w:r w:rsidR="00166172" w:rsidRPr="00906EDA">
        <w:rPr>
          <w:szCs w:val="24"/>
        </w:rPr>
        <w:t xml:space="preserve"> auf</w:t>
      </w:r>
      <w:r w:rsidR="002B2F87" w:rsidRPr="00906EDA">
        <w:rPr>
          <w:szCs w:val="24"/>
        </w:rPr>
        <w:t xml:space="preserve"> </w:t>
      </w:r>
      <w:r w:rsidR="00166172" w:rsidRPr="00906EDA">
        <w:rPr>
          <w:szCs w:val="24"/>
        </w:rPr>
        <w:t>Vielfalt (Diver</w:t>
      </w:r>
      <w:r w:rsidR="00390DD1" w:rsidRPr="00906EDA">
        <w:rPr>
          <w:szCs w:val="24"/>
        </w:rPr>
        <w:t>s</w:t>
      </w:r>
      <w:r w:rsidR="00166172" w:rsidRPr="00906EDA">
        <w:rPr>
          <w:szCs w:val="24"/>
        </w:rPr>
        <w:t xml:space="preserve">ity), </w:t>
      </w:r>
      <w:r w:rsidR="00D43F69" w:rsidRPr="00906EDA">
        <w:rPr>
          <w:szCs w:val="24"/>
        </w:rPr>
        <w:t xml:space="preserve">also darauf, dass Mitarbeiter mit unterschiedlichem Hintergrund im Unternehmen arbeiten und ihre individuellen Perspektiven und Fähigkeiten einbringen. </w:t>
      </w:r>
      <w:r w:rsidRPr="00906EDA">
        <w:rPr>
          <w:szCs w:val="24"/>
        </w:rPr>
        <w:t>D</w:t>
      </w:r>
      <w:r w:rsidR="00107D4F" w:rsidRPr="00906EDA">
        <w:rPr>
          <w:szCs w:val="24"/>
        </w:rPr>
        <w:t xml:space="preserve">er Vorstand der DBAG </w:t>
      </w:r>
      <w:r w:rsidRPr="00906EDA">
        <w:rPr>
          <w:szCs w:val="24"/>
        </w:rPr>
        <w:t xml:space="preserve">hat </w:t>
      </w:r>
      <w:r w:rsidR="00107D4F" w:rsidRPr="00906EDA">
        <w:rPr>
          <w:szCs w:val="24"/>
        </w:rPr>
        <w:t xml:space="preserve">zuletzt </w:t>
      </w:r>
      <w:r w:rsidR="0039630C" w:rsidRPr="00906EDA">
        <w:rPr>
          <w:szCs w:val="24"/>
        </w:rPr>
        <w:t>im</w:t>
      </w:r>
      <w:r w:rsidR="00107D4F" w:rsidRPr="00906EDA">
        <w:rPr>
          <w:szCs w:val="24"/>
        </w:rPr>
        <w:t xml:space="preserve"> </w:t>
      </w:r>
      <w:r w:rsidRPr="00906EDA">
        <w:rPr>
          <w:szCs w:val="24"/>
        </w:rPr>
        <w:t xml:space="preserve">Mai </w:t>
      </w:r>
      <w:r w:rsidR="00107D4F" w:rsidRPr="00906EDA">
        <w:rPr>
          <w:szCs w:val="24"/>
        </w:rPr>
        <w:t>20</w:t>
      </w:r>
      <w:r w:rsidRPr="00906EDA">
        <w:rPr>
          <w:szCs w:val="24"/>
        </w:rPr>
        <w:t>22</w:t>
      </w:r>
      <w:r w:rsidR="00107D4F" w:rsidRPr="00906EDA">
        <w:rPr>
          <w:szCs w:val="24"/>
        </w:rPr>
        <w:t xml:space="preserve"> </w:t>
      </w:r>
      <w:r w:rsidR="00541CD7" w:rsidRPr="00906EDA">
        <w:rPr>
          <w:szCs w:val="24"/>
        </w:rPr>
        <w:t>mit Wirkung ab 1</w:t>
      </w:r>
      <w:r w:rsidR="00B844BF" w:rsidRPr="00906EDA">
        <w:rPr>
          <w:szCs w:val="24"/>
        </w:rPr>
        <w:t>. </w:t>
      </w:r>
      <w:r w:rsidR="00541CD7" w:rsidRPr="00906EDA">
        <w:rPr>
          <w:szCs w:val="24"/>
        </w:rPr>
        <w:t xml:space="preserve">Juli 2022 </w:t>
      </w:r>
      <w:r w:rsidR="00107D4F" w:rsidRPr="00906EDA">
        <w:rPr>
          <w:szCs w:val="24"/>
        </w:rPr>
        <w:t xml:space="preserve">die Zielquote für den Anteil von Frauen an der Führungsebene unterhalb des Vorstands überprüft </w:t>
      </w:r>
      <w:r w:rsidRPr="00906EDA">
        <w:rPr>
          <w:szCs w:val="24"/>
        </w:rPr>
        <w:t xml:space="preserve">und beschlossen, </w:t>
      </w:r>
      <w:r w:rsidRPr="00906EDA">
        <w:rPr>
          <w:bCs/>
          <w:color w:val="000000"/>
          <w:szCs w:val="24"/>
        </w:rPr>
        <w:t xml:space="preserve">dass die Zielgröße für den Anteil von Frauen in der Führungsebene unterhalb des Vorstands (d.h. in der Geschäftsleitung) 20 Prozent betragen soll. Zur Erreichung dieser Zielgröße wurde eine Frist bis zum 30. Juni 2027 bestimmt. Für die Umrechenbarkeit der Prozentangaben in volle Personenzahlen wird unterstellt, dass die </w:t>
      </w:r>
      <w:r w:rsidR="00541CD7" w:rsidRPr="00906EDA">
        <w:rPr>
          <w:bCs/>
          <w:color w:val="000000"/>
          <w:szCs w:val="24"/>
        </w:rPr>
        <w:t xml:space="preserve">bei Zielfestlegung bestehende </w:t>
      </w:r>
      <w:r w:rsidRPr="00906EDA">
        <w:rPr>
          <w:bCs/>
          <w:color w:val="000000"/>
          <w:szCs w:val="24"/>
        </w:rPr>
        <w:lastRenderedPageBreak/>
        <w:t xml:space="preserve">Personenzahl in der Führungsebene derjenigen im Zeitpunkt des Ablaufs der Zielerreichungsfrist entspricht. </w:t>
      </w:r>
      <w:r w:rsidR="00D4369F" w:rsidRPr="00906EDA">
        <w:rPr>
          <w:bCs/>
          <w:color w:val="000000"/>
          <w:szCs w:val="24"/>
        </w:rPr>
        <w:t xml:space="preserve">Zum </w:t>
      </w:r>
      <w:r w:rsidR="00F50DAB" w:rsidRPr="00906EDA">
        <w:rPr>
          <w:bCs/>
          <w:color w:val="000000"/>
          <w:szCs w:val="24"/>
        </w:rPr>
        <w:t>31</w:t>
      </w:r>
      <w:r w:rsidR="00D4369F" w:rsidRPr="00906EDA">
        <w:rPr>
          <w:bCs/>
          <w:color w:val="000000"/>
          <w:szCs w:val="24"/>
        </w:rPr>
        <w:t xml:space="preserve">. </w:t>
      </w:r>
      <w:r w:rsidR="00F50DAB" w:rsidRPr="00906EDA">
        <w:rPr>
          <w:bCs/>
          <w:color w:val="000000"/>
          <w:szCs w:val="24"/>
        </w:rPr>
        <w:t>Dezember</w:t>
      </w:r>
      <w:r w:rsidR="00D4369F" w:rsidRPr="00906EDA">
        <w:rPr>
          <w:bCs/>
          <w:color w:val="000000"/>
          <w:szCs w:val="24"/>
        </w:rPr>
        <w:t xml:space="preserve"> 202</w:t>
      </w:r>
      <w:r w:rsidR="003A4016" w:rsidRPr="00906EDA">
        <w:rPr>
          <w:bCs/>
          <w:color w:val="000000"/>
          <w:szCs w:val="24"/>
        </w:rPr>
        <w:t>5</w:t>
      </w:r>
      <w:r w:rsidR="00D4369F" w:rsidRPr="00906EDA">
        <w:rPr>
          <w:bCs/>
          <w:color w:val="000000"/>
          <w:szCs w:val="24"/>
        </w:rPr>
        <w:t xml:space="preserve"> waren</w:t>
      </w:r>
      <w:r w:rsidRPr="00906EDA">
        <w:rPr>
          <w:bCs/>
          <w:color w:val="000000"/>
          <w:szCs w:val="24"/>
        </w:rPr>
        <w:t xml:space="preserve"> in der Führungsebene unterhalb des Vorstands </w:t>
      </w:r>
      <w:r w:rsidR="006A7BAB">
        <w:rPr>
          <w:bCs/>
          <w:color w:val="000000"/>
          <w:szCs w:val="24"/>
        </w:rPr>
        <w:t>20</w:t>
      </w:r>
      <w:r w:rsidRPr="00906EDA">
        <w:rPr>
          <w:bCs/>
          <w:color w:val="000000"/>
          <w:szCs w:val="24"/>
        </w:rPr>
        <w:t xml:space="preserve"> Personen beschäftigt</w:t>
      </w:r>
      <w:r w:rsidR="00D75000">
        <w:rPr>
          <w:bCs/>
          <w:color w:val="000000"/>
          <w:szCs w:val="24"/>
        </w:rPr>
        <w:t>,</w:t>
      </w:r>
      <w:r w:rsidRPr="00906EDA">
        <w:rPr>
          <w:bCs/>
          <w:color w:val="000000"/>
          <w:szCs w:val="24"/>
        </w:rPr>
        <w:t xml:space="preserve"> darunter </w:t>
      </w:r>
      <w:r w:rsidR="006A7BAB">
        <w:rPr>
          <w:bCs/>
          <w:color w:val="000000"/>
          <w:szCs w:val="24"/>
        </w:rPr>
        <w:t>drei</w:t>
      </w:r>
      <w:r w:rsidR="003A2B03" w:rsidRPr="00906EDA">
        <w:rPr>
          <w:bCs/>
          <w:color w:val="000000"/>
          <w:szCs w:val="24"/>
        </w:rPr>
        <w:t xml:space="preserve"> </w:t>
      </w:r>
      <w:r w:rsidR="005C7578" w:rsidRPr="00906EDA">
        <w:rPr>
          <w:bCs/>
          <w:color w:val="000000"/>
          <w:szCs w:val="24"/>
        </w:rPr>
        <w:t>Frau</w:t>
      </w:r>
      <w:r w:rsidR="001B02C4" w:rsidRPr="00906EDA">
        <w:rPr>
          <w:bCs/>
          <w:color w:val="000000"/>
          <w:szCs w:val="24"/>
        </w:rPr>
        <w:t>en</w:t>
      </w:r>
      <w:r w:rsidRPr="00906EDA">
        <w:rPr>
          <w:bCs/>
          <w:color w:val="000000"/>
          <w:szCs w:val="24"/>
        </w:rPr>
        <w:t xml:space="preserve">, was einer Quote von </w:t>
      </w:r>
      <w:r w:rsidR="006A7BAB">
        <w:rPr>
          <w:bCs/>
          <w:color w:val="000000"/>
          <w:szCs w:val="24"/>
        </w:rPr>
        <w:t>15</w:t>
      </w:r>
      <w:r w:rsidR="001B02C4" w:rsidRPr="00906EDA">
        <w:rPr>
          <w:bCs/>
          <w:color w:val="000000"/>
          <w:szCs w:val="24"/>
        </w:rPr>
        <w:t xml:space="preserve"> </w:t>
      </w:r>
      <w:r w:rsidRPr="00906EDA">
        <w:rPr>
          <w:bCs/>
          <w:color w:val="000000"/>
          <w:szCs w:val="24"/>
        </w:rPr>
        <w:t xml:space="preserve">Prozent entspricht. Der Vorstand </w:t>
      </w:r>
      <w:r w:rsidR="00455756" w:rsidRPr="00906EDA">
        <w:rPr>
          <w:bCs/>
          <w:color w:val="000000"/>
          <w:szCs w:val="24"/>
        </w:rPr>
        <w:t>hat</w:t>
      </w:r>
      <w:r w:rsidRPr="00906EDA">
        <w:rPr>
          <w:bCs/>
          <w:color w:val="000000"/>
          <w:szCs w:val="24"/>
        </w:rPr>
        <w:t xml:space="preserve"> seine Einschätzung</w:t>
      </w:r>
      <w:r w:rsidR="00455756" w:rsidRPr="00906EDA">
        <w:rPr>
          <w:bCs/>
          <w:color w:val="000000"/>
          <w:szCs w:val="24"/>
        </w:rPr>
        <w:t xml:space="preserve"> bestätigt</w:t>
      </w:r>
      <w:r w:rsidRPr="00906EDA">
        <w:rPr>
          <w:bCs/>
          <w:color w:val="000000"/>
          <w:szCs w:val="24"/>
        </w:rPr>
        <w:t>, dass es bei der DBAG aufgrund der flachen Hierarchien nur eine Führungsebene unterhalb des Vorstands gibt</w:t>
      </w:r>
      <w:r w:rsidR="00455756" w:rsidRPr="00906EDA">
        <w:rPr>
          <w:bCs/>
          <w:color w:val="000000"/>
          <w:szCs w:val="24"/>
        </w:rPr>
        <w:t>.</w:t>
      </w:r>
    </w:p>
    <w:p w14:paraId="59159864" w14:textId="77777777" w:rsidR="0075490F" w:rsidRPr="00906EDA" w:rsidRDefault="0075490F" w:rsidP="00B37DDF">
      <w:pPr>
        <w:spacing w:line="320" w:lineRule="exact"/>
        <w:ind w:right="1700"/>
        <w:jc w:val="both"/>
        <w:rPr>
          <w:szCs w:val="24"/>
        </w:rPr>
      </w:pPr>
    </w:p>
    <w:p w14:paraId="0D1E6D8F" w14:textId="77777777" w:rsidR="0075490F" w:rsidRPr="00906EDA" w:rsidRDefault="00040A83" w:rsidP="00B37DDF">
      <w:pPr>
        <w:pStyle w:val="berschrift2"/>
      </w:pPr>
      <w:r w:rsidRPr="00906EDA">
        <w:t>Zusammensetzung des Aufsichtsrats: Funktionsfähigkeit wichtigstes Ziel</w:t>
      </w:r>
    </w:p>
    <w:p w14:paraId="635DBB2C" w14:textId="1EC8BAB0" w:rsidR="0075490F" w:rsidRPr="00906EDA" w:rsidRDefault="00040A83" w:rsidP="00B37DDF">
      <w:pPr>
        <w:spacing w:line="320" w:lineRule="exact"/>
        <w:ind w:right="1700"/>
        <w:jc w:val="both"/>
      </w:pPr>
      <w:r w:rsidRPr="00906EDA">
        <w:t xml:space="preserve">Der Deutsche Corporate Governance Kodex empfiehlt, dass der Aufsichtsrat für seine Zusammensetzung konkrete Ziele benennt, ein Kompetenzprofil für das Gesamtgremium erarbeitet </w:t>
      </w:r>
      <w:r w:rsidR="003E3421" w:rsidRPr="00906EDA">
        <w:t>und</w:t>
      </w:r>
      <w:r w:rsidRPr="00906EDA">
        <w:t xml:space="preserve"> über den Stand der Umsetzung berichtet.</w:t>
      </w:r>
    </w:p>
    <w:p w14:paraId="1DE277FB" w14:textId="77777777" w:rsidR="0075490F" w:rsidRPr="00906EDA" w:rsidRDefault="0075490F" w:rsidP="00B37DDF">
      <w:pPr>
        <w:spacing w:line="320" w:lineRule="exact"/>
        <w:ind w:right="1700"/>
        <w:jc w:val="both"/>
      </w:pPr>
    </w:p>
    <w:p w14:paraId="1421885E" w14:textId="091310CC" w:rsidR="0075490F" w:rsidRPr="00906EDA" w:rsidRDefault="00040A83" w:rsidP="00B37DDF">
      <w:pPr>
        <w:spacing w:line="320" w:lineRule="exact"/>
        <w:ind w:right="1700"/>
        <w:jc w:val="both"/>
      </w:pPr>
      <w:r w:rsidRPr="00906EDA">
        <w:t xml:space="preserve">Das Kompetenzprofil fasst die nach Ansicht des Aufsichtsrats für die Zusammensetzung des Gesamtgremiums notwendigen Kompetenzen und Anforderungen zusammen. Dazu gehören insbesondere die folgenden Kompetenzfelder und Kenntnisse: Branchenkenntnis, M&amp;A-Prozesse, Geschäftsstrategie und -planung, </w:t>
      </w:r>
      <w:r w:rsidR="00455756" w:rsidRPr="00906EDA">
        <w:t xml:space="preserve">Nachhaltigkeitsfragen, </w:t>
      </w:r>
      <w:r w:rsidRPr="00906EDA">
        <w:t>Kapital- und Finanzmärkte, Corporate Governance, Rechnungslegung und Abschlussprüfung, (Regulierungs-)Recht, Compliance und Risikomanagement sowie IT und Digitalisierung. Darüber hinaus bestehen weitere persönliche Anforderungen: Unabhängigkeit, zeitliche Verfügbarkeit, Alter, Zugehörigkeitsdauer, Leitungserfahrung, keine Interessenkonflikte</w:t>
      </w:r>
      <w:r w:rsidR="003E3421" w:rsidRPr="00906EDA">
        <w:t xml:space="preserve"> und Vertrautheit</w:t>
      </w:r>
      <w:r w:rsidRPr="00906EDA">
        <w:t xml:space="preserve"> sowohl mit der Unternehmenssprache Deutsch </w:t>
      </w:r>
      <w:r w:rsidR="003E3421" w:rsidRPr="00906EDA">
        <w:t>als</w:t>
      </w:r>
      <w:r w:rsidR="008A732B" w:rsidRPr="00906EDA">
        <w:t xml:space="preserve"> </w:t>
      </w:r>
      <w:r w:rsidRPr="00906EDA">
        <w:t>auch</w:t>
      </w:r>
      <w:r w:rsidR="008A732B" w:rsidRPr="00906EDA">
        <w:t xml:space="preserve"> mit</w:t>
      </w:r>
      <w:r w:rsidRPr="00906EDA">
        <w:t xml:space="preserve"> der englischen Sprache.</w:t>
      </w:r>
    </w:p>
    <w:p w14:paraId="657929C1" w14:textId="77777777" w:rsidR="0075490F" w:rsidRPr="00906EDA" w:rsidRDefault="0075490F" w:rsidP="00B37DDF">
      <w:pPr>
        <w:spacing w:line="320" w:lineRule="exact"/>
        <w:ind w:right="1700"/>
        <w:jc w:val="both"/>
      </w:pPr>
    </w:p>
    <w:p w14:paraId="671E34FA" w14:textId="7BD33C36" w:rsidR="0075490F" w:rsidRPr="00906EDA" w:rsidRDefault="00040A83" w:rsidP="00B37DDF">
      <w:pPr>
        <w:spacing w:line="320" w:lineRule="exact"/>
        <w:ind w:right="1700"/>
        <w:jc w:val="both"/>
      </w:pPr>
      <w:r w:rsidRPr="00906EDA">
        <w:t xml:space="preserve">Der Aufsichtsrat der DBAG besteht aus </w:t>
      </w:r>
      <w:r w:rsidR="001E4371">
        <w:t>6</w:t>
      </w:r>
      <w:r w:rsidR="001E4371" w:rsidRPr="00906EDA">
        <w:t xml:space="preserve"> </w:t>
      </w:r>
      <w:r w:rsidRPr="00906EDA">
        <w:t>von der Hauptversammlung gewählten Mitgliedern. Wichtigstes Ziel für seine Zusammensetzung und Leitbild für das Kompetenzprofil ist die Funktionsfähigkeit des Aufsichtsrats; sie wird gefördert, wenn seine Mitglieder mehrheitlich unabhängig sind und keinen Interessenkonflikten unterliegen, wenn sie Erfahrung</w:t>
      </w:r>
      <w:r w:rsidR="00166172" w:rsidRPr="00906EDA">
        <w:t>en</w:t>
      </w:r>
      <w:r w:rsidRPr="00906EDA">
        <w:t xml:space="preserve"> mit den unterschiedlichen Facetten des Geschäfts der DBAG haben und mit der Anwendung der entsprechenden Rechnungslegungsgrundsätze vertraut sind. </w:t>
      </w:r>
      <w:r w:rsidR="00D626AA" w:rsidRPr="00906EDA">
        <w:rPr>
          <w:szCs w:val="24"/>
        </w:rPr>
        <w:t>Der Aufsichtsrat strebt außerdem eine hinreichende Vielfalt</w:t>
      </w:r>
      <w:r w:rsidR="00166172" w:rsidRPr="00906EDA">
        <w:rPr>
          <w:szCs w:val="24"/>
        </w:rPr>
        <w:t xml:space="preserve"> (Diversity)</w:t>
      </w:r>
      <w:r w:rsidR="00D626AA" w:rsidRPr="00906EDA">
        <w:rPr>
          <w:szCs w:val="24"/>
        </w:rPr>
        <w:t xml:space="preserve"> im Hinblick auf Persönlichkeit, Geschlecht, Internationalität, beruflichen Hintergrund, Fachkenntnisse und Erfahrungen sowie Altersverteilung seiner Mitglieder an. </w:t>
      </w:r>
      <w:r w:rsidRPr="00906EDA">
        <w:t xml:space="preserve">Der Aufsichtsrat ist der Ansicht, dass die Mehrzahl, also mindestens </w:t>
      </w:r>
      <w:r w:rsidR="00AA0C50">
        <w:t>4</w:t>
      </w:r>
      <w:r w:rsidRPr="00906EDA">
        <w:t>, seiner Mitglieder</w:t>
      </w:r>
      <w:r w:rsidR="00672D49" w:rsidRPr="00906EDA">
        <w:t xml:space="preserve"> auf </w:t>
      </w:r>
      <w:proofErr w:type="spellStart"/>
      <w:r w:rsidR="00672D49" w:rsidRPr="00906EDA">
        <w:t>Anteilseignerseite</w:t>
      </w:r>
      <w:proofErr w:type="spellEnd"/>
      <w:r w:rsidRPr="00906EDA">
        <w:t xml:space="preserve"> unabhängig </w:t>
      </w:r>
      <w:r w:rsidR="005664A6" w:rsidRPr="00906EDA">
        <w:t>von der Gesellschaft und vom Vorstand</w:t>
      </w:r>
      <w:r w:rsidR="00672D49" w:rsidRPr="00906EDA">
        <w:t xml:space="preserve"> sowie mindestens </w:t>
      </w:r>
      <w:r w:rsidR="00AA0C50">
        <w:t>4</w:t>
      </w:r>
      <w:r w:rsidR="00AA0C50" w:rsidRPr="00906EDA">
        <w:t xml:space="preserve"> </w:t>
      </w:r>
      <w:r w:rsidR="00672D49" w:rsidRPr="00906EDA">
        <w:t xml:space="preserve">Mitglieder auf </w:t>
      </w:r>
      <w:proofErr w:type="spellStart"/>
      <w:r w:rsidR="00672D49" w:rsidRPr="00906EDA">
        <w:t>Anteilseignerseite</w:t>
      </w:r>
      <w:proofErr w:type="spellEnd"/>
      <w:r w:rsidR="00672D49" w:rsidRPr="00906EDA">
        <w:t xml:space="preserve"> unabhängig von einem etwaigen kontrollierenden Aktionär</w:t>
      </w:r>
      <w:r w:rsidR="005664A6" w:rsidRPr="00906EDA">
        <w:t xml:space="preserve"> </w:t>
      </w:r>
      <w:r w:rsidRPr="00906EDA">
        <w:t xml:space="preserve">sein sollten; </w:t>
      </w:r>
      <w:r w:rsidR="00672D49" w:rsidRPr="00906EDA">
        <w:t xml:space="preserve">unter den von der Gesellschaft und vom Vorstand unabhängigen Mitgliedern </w:t>
      </w:r>
      <w:r w:rsidRPr="00906EDA">
        <w:t>sollte</w:t>
      </w:r>
      <w:r w:rsidR="005664A6" w:rsidRPr="00906EDA">
        <w:t>n</w:t>
      </w:r>
      <w:r w:rsidRPr="00906EDA">
        <w:t xml:space="preserve"> auch der Vorsitzende des Aufsichtsrats</w:t>
      </w:r>
      <w:r w:rsidR="005664A6" w:rsidRPr="00906EDA">
        <w:t>, der Vorsitzende des Prüfungsausschusses sowie der Vorsitzende des Präsidialausschusses</w:t>
      </w:r>
      <w:r w:rsidR="00B66CDD" w:rsidRPr="00906EDA">
        <w:t xml:space="preserve"> </w:t>
      </w:r>
      <w:r w:rsidRPr="00906EDA">
        <w:t>sein.</w:t>
      </w:r>
      <w:r w:rsidR="005664A6" w:rsidRPr="00906EDA">
        <w:t xml:space="preserve"> </w:t>
      </w:r>
      <w:r w:rsidR="00672D49" w:rsidRPr="00906EDA">
        <w:t xml:space="preserve">Der Vorsitzende des Prüfungsausschusses sollte zudem unabhängig von einem etwaigen kontrollierenden Aktionär sein. </w:t>
      </w:r>
      <w:r w:rsidR="00057822" w:rsidRPr="00906EDA">
        <w:t xml:space="preserve">Derzeit gibt es keinen Aktionär, der die Gesellschaft </w:t>
      </w:r>
      <w:r w:rsidR="005664A6" w:rsidRPr="00906EDA">
        <w:t>kontrollier</w:t>
      </w:r>
      <w:r w:rsidR="00057822" w:rsidRPr="00906EDA">
        <w:t>t.</w:t>
      </w:r>
    </w:p>
    <w:p w14:paraId="5C3EE43E" w14:textId="77777777" w:rsidR="00C55F09" w:rsidRPr="00906EDA" w:rsidRDefault="00C55F09" w:rsidP="00B37DDF">
      <w:pPr>
        <w:spacing w:line="320" w:lineRule="exact"/>
        <w:ind w:right="1700"/>
        <w:jc w:val="both"/>
      </w:pPr>
    </w:p>
    <w:p w14:paraId="0744DC95" w14:textId="525EC3A5" w:rsidR="0075490F" w:rsidRPr="00906EDA" w:rsidRDefault="00D75000" w:rsidP="00B37DDF">
      <w:pPr>
        <w:spacing w:line="320" w:lineRule="exact"/>
        <w:ind w:right="1700"/>
        <w:jc w:val="both"/>
      </w:pPr>
      <w:r>
        <w:lastRenderedPageBreak/>
        <w:t>Kein</w:t>
      </w:r>
      <w:r w:rsidR="00AA0C50" w:rsidRPr="00906EDA">
        <w:t xml:space="preserve"> </w:t>
      </w:r>
      <w:r w:rsidR="00040A83" w:rsidRPr="00906EDA">
        <w:t>Mitglied des Aufsichtsrats steh</w:t>
      </w:r>
      <w:r>
        <w:t>t</w:t>
      </w:r>
      <w:r w:rsidR="00040A83" w:rsidRPr="00906EDA">
        <w:t xml:space="preserve"> </w:t>
      </w:r>
      <w:r w:rsidR="00295978" w:rsidRPr="00906EDA">
        <w:t xml:space="preserve">insbesondere </w:t>
      </w:r>
      <w:r w:rsidR="00040A83" w:rsidRPr="00906EDA">
        <w:t>in einer geschäftlichen oder persönlichen Beziehung zu der Gesellschaft</w:t>
      </w:r>
      <w:r w:rsidR="00C55F09" w:rsidRPr="00906EDA">
        <w:t xml:space="preserve"> </w:t>
      </w:r>
      <w:r w:rsidR="00295978" w:rsidRPr="00906EDA">
        <w:t>oder deren Vorstand</w:t>
      </w:r>
      <w:r w:rsidR="005465CD" w:rsidRPr="00906EDA">
        <w:t xml:space="preserve"> </w:t>
      </w:r>
      <w:r w:rsidR="00295978" w:rsidRPr="00906EDA">
        <w:t xml:space="preserve">oder </w:t>
      </w:r>
      <w:r w:rsidR="00040A83" w:rsidRPr="00906EDA">
        <w:t xml:space="preserve">einem kontrollierenden Aktionär, die einen wesentlichen und nicht nur vorübergehenden Interessenkonflikt begründen kann. </w:t>
      </w:r>
    </w:p>
    <w:p w14:paraId="47DED0AC" w14:textId="49F82C34" w:rsidR="00C3475A" w:rsidRPr="00906EDA" w:rsidRDefault="00C3475A" w:rsidP="00B37DDF">
      <w:pPr>
        <w:spacing w:line="320" w:lineRule="exact"/>
        <w:ind w:right="1700"/>
        <w:jc w:val="both"/>
      </w:pPr>
    </w:p>
    <w:p w14:paraId="212C050F" w14:textId="59F35E2F" w:rsidR="00C3475A" w:rsidRPr="00906EDA" w:rsidRDefault="00040A83" w:rsidP="00C3475A">
      <w:pPr>
        <w:spacing w:line="320" w:lineRule="exact"/>
        <w:ind w:right="1700"/>
        <w:jc w:val="both"/>
      </w:pPr>
      <w:r w:rsidRPr="00906EDA">
        <w:t>Die gegenwärtige Zusammensetzung des Aufsichtsrats spiegelt diese Zielsetzungen wider</w:t>
      </w:r>
      <w:r w:rsidR="00881946" w:rsidRPr="00906EDA">
        <w:t>:</w:t>
      </w:r>
      <w:r w:rsidRPr="00906EDA">
        <w:t xml:space="preserve"> </w:t>
      </w:r>
    </w:p>
    <w:p w14:paraId="50C498F0" w14:textId="5011C9EF" w:rsidR="00C3475A" w:rsidRPr="00906EDA" w:rsidRDefault="00C3475A" w:rsidP="00B37DDF">
      <w:pPr>
        <w:spacing w:line="320" w:lineRule="exact"/>
        <w:ind w:right="1700"/>
        <w:jc w:val="both"/>
      </w:pPr>
    </w:p>
    <w:p w14:paraId="557CC22B" w14:textId="2E31DE7D" w:rsidR="00153469" w:rsidRPr="00906EDA" w:rsidRDefault="00153469" w:rsidP="00B37DDF">
      <w:pPr>
        <w:spacing w:line="320" w:lineRule="exact"/>
        <w:ind w:right="1700"/>
        <w:jc w:val="both"/>
      </w:pPr>
    </w:p>
    <w:tbl>
      <w:tblPr>
        <w:tblStyle w:val="Tabellenraster"/>
        <w:tblW w:w="0" w:type="auto"/>
        <w:tblLook w:val="04A0" w:firstRow="1" w:lastRow="0" w:firstColumn="1" w:lastColumn="0" w:noHBand="0" w:noVBand="1"/>
      </w:tblPr>
      <w:tblGrid>
        <w:gridCol w:w="662"/>
        <w:gridCol w:w="1271"/>
        <w:gridCol w:w="689"/>
        <w:gridCol w:w="689"/>
        <w:gridCol w:w="708"/>
        <w:gridCol w:w="688"/>
        <w:gridCol w:w="688"/>
        <w:gridCol w:w="688"/>
        <w:gridCol w:w="708"/>
        <w:gridCol w:w="688"/>
        <w:gridCol w:w="688"/>
        <w:gridCol w:w="688"/>
        <w:gridCol w:w="495"/>
      </w:tblGrid>
      <w:tr w:rsidR="00584893" w:rsidRPr="00906EDA" w14:paraId="7C2B2D2F" w14:textId="77777777" w:rsidTr="00383995">
        <w:tc>
          <w:tcPr>
            <w:tcW w:w="1933" w:type="dxa"/>
            <w:gridSpan w:val="2"/>
            <w:vMerge w:val="restart"/>
            <w:tcBorders>
              <w:top w:val="nil"/>
              <w:left w:val="nil"/>
              <w:bottom w:val="nil"/>
              <w:right w:val="single" w:sz="4" w:space="0" w:color="auto"/>
            </w:tcBorders>
            <w:shd w:val="clear" w:color="auto" w:fill="FFFFFF" w:themeFill="background1"/>
          </w:tcPr>
          <w:p w14:paraId="37222C67" w14:textId="77777777" w:rsidR="00DA1347" w:rsidRPr="00906EDA" w:rsidRDefault="00DA1347" w:rsidP="002858DF">
            <w:pPr>
              <w:spacing w:before="60" w:after="60"/>
              <w:rPr>
                <w:b/>
                <w:bCs/>
              </w:rPr>
            </w:pPr>
            <w:bookmarkStart w:id="11" w:name="_Hlk114149068"/>
          </w:p>
        </w:tc>
        <w:tc>
          <w:tcPr>
            <w:tcW w:w="7417" w:type="dxa"/>
            <w:gridSpan w:val="11"/>
            <w:tcBorders>
              <w:left w:val="single" w:sz="4" w:space="0" w:color="auto"/>
            </w:tcBorders>
            <w:shd w:val="clear" w:color="auto" w:fill="95B3D7" w:themeFill="accent1" w:themeFillTint="99"/>
          </w:tcPr>
          <w:p w14:paraId="350E2EEE" w14:textId="77777777" w:rsidR="00DA1347" w:rsidRPr="00906EDA" w:rsidRDefault="00040A83" w:rsidP="002858DF">
            <w:pPr>
              <w:spacing w:before="60" w:after="60"/>
              <w:jc w:val="center"/>
              <w:rPr>
                <w:b/>
                <w:bCs/>
                <w:sz w:val="20"/>
              </w:rPr>
            </w:pPr>
            <w:r w:rsidRPr="00906EDA">
              <w:rPr>
                <w:b/>
                <w:bCs/>
                <w:sz w:val="20"/>
              </w:rPr>
              <w:t>Kompetenzfelder</w:t>
            </w:r>
          </w:p>
        </w:tc>
      </w:tr>
      <w:tr w:rsidR="00584893" w:rsidRPr="00906EDA" w14:paraId="37454A39" w14:textId="77777777" w:rsidTr="00383995">
        <w:trPr>
          <w:cantSplit/>
          <w:trHeight w:val="2288"/>
        </w:trPr>
        <w:tc>
          <w:tcPr>
            <w:tcW w:w="0" w:type="auto"/>
            <w:gridSpan w:val="2"/>
            <w:vMerge/>
            <w:tcBorders>
              <w:top w:val="nil"/>
              <w:left w:val="nil"/>
              <w:bottom w:val="nil"/>
              <w:right w:val="single" w:sz="4" w:space="0" w:color="auto"/>
            </w:tcBorders>
          </w:tcPr>
          <w:p w14:paraId="1F716447" w14:textId="77777777" w:rsidR="00DA1347" w:rsidRPr="00906EDA" w:rsidRDefault="00DA1347" w:rsidP="008003AD">
            <w:pPr>
              <w:spacing w:after="60"/>
              <w:rPr>
                <w:b/>
                <w:bCs/>
              </w:rPr>
            </w:pPr>
          </w:p>
        </w:tc>
        <w:tc>
          <w:tcPr>
            <w:tcW w:w="689" w:type="dxa"/>
            <w:tcBorders>
              <w:left w:val="single" w:sz="4" w:space="0" w:color="auto"/>
            </w:tcBorders>
            <w:shd w:val="clear" w:color="auto" w:fill="EEECE1" w:themeFill="background2"/>
            <w:textDirection w:val="btLr"/>
            <w:vAlign w:val="center"/>
          </w:tcPr>
          <w:p w14:paraId="5C20C98A" w14:textId="77777777" w:rsidR="00DA1347" w:rsidRPr="00906EDA" w:rsidRDefault="00040A83" w:rsidP="008003AD">
            <w:pPr>
              <w:spacing w:after="60" w:line="240" w:lineRule="auto"/>
              <w:ind w:left="113" w:right="113"/>
              <w:rPr>
                <w:b/>
                <w:bCs/>
                <w:sz w:val="18"/>
                <w:szCs w:val="18"/>
              </w:rPr>
            </w:pPr>
            <w:r w:rsidRPr="00906EDA">
              <w:rPr>
                <w:b/>
                <w:bCs/>
                <w:sz w:val="18"/>
                <w:szCs w:val="18"/>
              </w:rPr>
              <w:t>Branchenkenntnis</w:t>
            </w:r>
          </w:p>
        </w:tc>
        <w:tc>
          <w:tcPr>
            <w:tcW w:w="689" w:type="dxa"/>
            <w:shd w:val="clear" w:color="auto" w:fill="EEECE1" w:themeFill="background2"/>
            <w:textDirection w:val="btLr"/>
            <w:vAlign w:val="center"/>
          </w:tcPr>
          <w:p w14:paraId="70E0937D" w14:textId="77777777" w:rsidR="00DA1347" w:rsidRPr="00906EDA" w:rsidRDefault="00040A83" w:rsidP="008003AD">
            <w:pPr>
              <w:spacing w:after="60" w:line="240" w:lineRule="auto"/>
              <w:ind w:left="113" w:right="113"/>
              <w:rPr>
                <w:b/>
                <w:bCs/>
                <w:sz w:val="18"/>
                <w:szCs w:val="18"/>
              </w:rPr>
            </w:pPr>
            <w:r w:rsidRPr="00906EDA">
              <w:rPr>
                <w:b/>
                <w:bCs/>
                <w:sz w:val="18"/>
                <w:szCs w:val="18"/>
              </w:rPr>
              <w:t>M&amp;A-Prozesse</w:t>
            </w:r>
          </w:p>
        </w:tc>
        <w:tc>
          <w:tcPr>
            <w:tcW w:w="708" w:type="dxa"/>
            <w:shd w:val="clear" w:color="auto" w:fill="EEECE1" w:themeFill="background2"/>
            <w:textDirection w:val="btLr"/>
            <w:vAlign w:val="center"/>
          </w:tcPr>
          <w:p w14:paraId="728712E0" w14:textId="54A0CE4D" w:rsidR="00DA1347" w:rsidRPr="00906EDA" w:rsidRDefault="00040A83" w:rsidP="008003AD">
            <w:pPr>
              <w:spacing w:after="60" w:line="240" w:lineRule="auto"/>
              <w:ind w:left="113" w:right="113"/>
              <w:rPr>
                <w:b/>
                <w:bCs/>
                <w:sz w:val="18"/>
                <w:szCs w:val="18"/>
              </w:rPr>
            </w:pPr>
            <w:r w:rsidRPr="00906EDA">
              <w:rPr>
                <w:b/>
                <w:bCs/>
                <w:sz w:val="18"/>
                <w:szCs w:val="18"/>
              </w:rPr>
              <w:t xml:space="preserve">Geschäftsstrategie und </w:t>
            </w:r>
            <w:r w:rsidR="00AA0C50">
              <w:rPr>
                <w:b/>
                <w:bCs/>
                <w:sz w:val="18"/>
                <w:szCs w:val="18"/>
              </w:rPr>
              <w:br/>
            </w:r>
            <w:r w:rsidRPr="00906EDA">
              <w:rPr>
                <w:b/>
                <w:bCs/>
                <w:sz w:val="18"/>
                <w:szCs w:val="18"/>
              </w:rPr>
              <w:t>-planung</w:t>
            </w:r>
          </w:p>
        </w:tc>
        <w:tc>
          <w:tcPr>
            <w:tcW w:w="688" w:type="dxa"/>
            <w:shd w:val="clear" w:color="auto" w:fill="EEECE1" w:themeFill="background2"/>
            <w:textDirection w:val="btLr"/>
            <w:vAlign w:val="center"/>
          </w:tcPr>
          <w:p w14:paraId="42EC0DF1" w14:textId="77777777" w:rsidR="00DA1347" w:rsidRPr="00906EDA" w:rsidRDefault="00040A83" w:rsidP="008003AD">
            <w:pPr>
              <w:spacing w:after="60" w:line="240" w:lineRule="auto"/>
              <w:ind w:left="113" w:right="113"/>
              <w:rPr>
                <w:b/>
                <w:bCs/>
                <w:sz w:val="18"/>
                <w:szCs w:val="18"/>
              </w:rPr>
            </w:pPr>
            <w:r w:rsidRPr="00906EDA">
              <w:rPr>
                <w:b/>
                <w:bCs/>
                <w:sz w:val="18"/>
                <w:szCs w:val="18"/>
              </w:rPr>
              <w:t>Nachhaltigkeitsfragen</w:t>
            </w:r>
          </w:p>
        </w:tc>
        <w:tc>
          <w:tcPr>
            <w:tcW w:w="688" w:type="dxa"/>
            <w:shd w:val="clear" w:color="auto" w:fill="EEECE1" w:themeFill="background2"/>
            <w:textDirection w:val="btLr"/>
            <w:vAlign w:val="center"/>
          </w:tcPr>
          <w:p w14:paraId="74DFA60C" w14:textId="77777777" w:rsidR="00DA1347" w:rsidRPr="00906EDA" w:rsidRDefault="00040A83" w:rsidP="008003AD">
            <w:pPr>
              <w:spacing w:after="60" w:line="240" w:lineRule="auto"/>
              <w:ind w:left="113" w:right="113"/>
              <w:rPr>
                <w:b/>
                <w:bCs/>
                <w:sz w:val="18"/>
                <w:szCs w:val="18"/>
              </w:rPr>
            </w:pPr>
            <w:r w:rsidRPr="00906EDA">
              <w:rPr>
                <w:b/>
                <w:bCs/>
                <w:sz w:val="18"/>
                <w:szCs w:val="18"/>
              </w:rPr>
              <w:t>Kapital- und Finanzmärkte</w:t>
            </w:r>
          </w:p>
        </w:tc>
        <w:tc>
          <w:tcPr>
            <w:tcW w:w="688" w:type="dxa"/>
            <w:shd w:val="clear" w:color="auto" w:fill="EEECE1" w:themeFill="background2"/>
            <w:textDirection w:val="btLr"/>
            <w:vAlign w:val="center"/>
          </w:tcPr>
          <w:p w14:paraId="42F20FD9" w14:textId="77777777" w:rsidR="00DA1347" w:rsidRPr="00906EDA" w:rsidRDefault="00040A83" w:rsidP="008003AD">
            <w:pPr>
              <w:spacing w:after="60" w:line="240" w:lineRule="auto"/>
              <w:ind w:left="113" w:right="113"/>
              <w:rPr>
                <w:b/>
                <w:bCs/>
                <w:sz w:val="18"/>
                <w:szCs w:val="18"/>
              </w:rPr>
            </w:pPr>
            <w:r w:rsidRPr="00906EDA">
              <w:rPr>
                <w:b/>
                <w:bCs/>
                <w:sz w:val="18"/>
                <w:szCs w:val="18"/>
              </w:rPr>
              <w:t>Corporate Governance</w:t>
            </w:r>
          </w:p>
        </w:tc>
        <w:tc>
          <w:tcPr>
            <w:tcW w:w="708" w:type="dxa"/>
            <w:shd w:val="clear" w:color="auto" w:fill="EEECE1" w:themeFill="background2"/>
            <w:textDirection w:val="btLr"/>
            <w:vAlign w:val="center"/>
          </w:tcPr>
          <w:p w14:paraId="5B56CA7A" w14:textId="6A45D2D8" w:rsidR="00DA1347" w:rsidRPr="00906EDA" w:rsidRDefault="00040A83" w:rsidP="008003AD">
            <w:pPr>
              <w:spacing w:after="60" w:line="240" w:lineRule="auto"/>
              <w:ind w:left="113" w:right="113"/>
              <w:rPr>
                <w:b/>
                <w:bCs/>
                <w:sz w:val="18"/>
                <w:szCs w:val="18"/>
              </w:rPr>
            </w:pPr>
            <w:r w:rsidRPr="00906EDA">
              <w:rPr>
                <w:b/>
                <w:bCs/>
                <w:sz w:val="18"/>
                <w:szCs w:val="18"/>
              </w:rPr>
              <w:t xml:space="preserve">Rechnungslegung und </w:t>
            </w:r>
            <w:r w:rsidR="00D75000">
              <w:rPr>
                <w:b/>
                <w:bCs/>
                <w:sz w:val="18"/>
                <w:szCs w:val="18"/>
              </w:rPr>
              <w:br/>
            </w:r>
            <w:r w:rsidRPr="00906EDA">
              <w:rPr>
                <w:b/>
                <w:bCs/>
                <w:sz w:val="18"/>
                <w:szCs w:val="18"/>
              </w:rPr>
              <w:t>Abschlussprüfung</w:t>
            </w:r>
          </w:p>
        </w:tc>
        <w:tc>
          <w:tcPr>
            <w:tcW w:w="688" w:type="dxa"/>
            <w:shd w:val="clear" w:color="auto" w:fill="EEECE1" w:themeFill="background2"/>
            <w:textDirection w:val="btLr"/>
            <w:vAlign w:val="center"/>
          </w:tcPr>
          <w:p w14:paraId="2BA29193" w14:textId="18846FCE" w:rsidR="00DA1347" w:rsidRPr="00906EDA" w:rsidRDefault="00040A83" w:rsidP="008003AD">
            <w:pPr>
              <w:spacing w:after="60" w:line="240" w:lineRule="auto"/>
              <w:ind w:left="113" w:right="113"/>
              <w:rPr>
                <w:b/>
                <w:bCs/>
                <w:sz w:val="18"/>
                <w:szCs w:val="18"/>
              </w:rPr>
            </w:pPr>
            <w:r w:rsidRPr="00906EDA">
              <w:rPr>
                <w:b/>
                <w:bCs/>
                <w:sz w:val="18"/>
                <w:szCs w:val="18"/>
              </w:rPr>
              <w:t>(Regulierungs-)Recht</w:t>
            </w:r>
          </w:p>
        </w:tc>
        <w:tc>
          <w:tcPr>
            <w:tcW w:w="688" w:type="dxa"/>
            <w:shd w:val="clear" w:color="auto" w:fill="EEECE1" w:themeFill="background2"/>
            <w:textDirection w:val="btLr"/>
            <w:vAlign w:val="center"/>
          </w:tcPr>
          <w:p w14:paraId="16B7736B" w14:textId="77777777" w:rsidR="00DA1347" w:rsidRPr="00906EDA" w:rsidRDefault="00040A83" w:rsidP="008003AD">
            <w:pPr>
              <w:spacing w:after="60" w:line="240" w:lineRule="auto"/>
              <w:ind w:left="113" w:right="113"/>
              <w:rPr>
                <w:b/>
                <w:bCs/>
                <w:sz w:val="18"/>
                <w:szCs w:val="18"/>
              </w:rPr>
            </w:pPr>
            <w:r w:rsidRPr="00906EDA">
              <w:rPr>
                <w:b/>
                <w:bCs/>
                <w:sz w:val="18"/>
                <w:szCs w:val="18"/>
              </w:rPr>
              <w:t>Compliance und Risikomanagement</w:t>
            </w:r>
          </w:p>
        </w:tc>
        <w:tc>
          <w:tcPr>
            <w:tcW w:w="688" w:type="dxa"/>
            <w:shd w:val="clear" w:color="auto" w:fill="EEECE1" w:themeFill="background2"/>
            <w:textDirection w:val="btLr"/>
            <w:vAlign w:val="center"/>
          </w:tcPr>
          <w:p w14:paraId="16D3A07F" w14:textId="77777777" w:rsidR="00DA1347" w:rsidRPr="00906EDA" w:rsidRDefault="00040A83" w:rsidP="008003AD">
            <w:pPr>
              <w:spacing w:after="60" w:line="240" w:lineRule="auto"/>
              <w:ind w:left="113" w:right="113"/>
              <w:rPr>
                <w:b/>
                <w:bCs/>
                <w:sz w:val="18"/>
                <w:szCs w:val="18"/>
              </w:rPr>
            </w:pPr>
            <w:r w:rsidRPr="00906EDA">
              <w:rPr>
                <w:b/>
                <w:bCs/>
                <w:sz w:val="18"/>
                <w:szCs w:val="18"/>
              </w:rPr>
              <w:t>IT und Digitalisierung</w:t>
            </w:r>
          </w:p>
        </w:tc>
        <w:tc>
          <w:tcPr>
            <w:tcW w:w="495" w:type="dxa"/>
            <w:shd w:val="clear" w:color="auto" w:fill="EEECE1" w:themeFill="background2"/>
            <w:textDirection w:val="btLr"/>
            <w:vAlign w:val="center"/>
          </w:tcPr>
          <w:p w14:paraId="4FC0ECB2" w14:textId="77777777" w:rsidR="00DA1347" w:rsidRPr="00906EDA" w:rsidRDefault="00040A83" w:rsidP="008003AD">
            <w:pPr>
              <w:spacing w:after="60" w:line="240" w:lineRule="auto"/>
              <w:ind w:left="113" w:right="113"/>
              <w:rPr>
                <w:b/>
                <w:bCs/>
                <w:sz w:val="18"/>
                <w:szCs w:val="18"/>
              </w:rPr>
            </w:pPr>
            <w:r w:rsidRPr="00906EDA">
              <w:rPr>
                <w:b/>
                <w:bCs/>
                <w:sz w:val="18"/>
                <w:szCs w:val="18"/>
              </w:rPr>
              <w:t>Unabhängigkeit</w:t>
            </w:r>
          </w:p>
        </w:tc>
      </w:tr>
      <w:tr w:rsidR="00464C4A" w:rsidRPr="00906EDA" w14:paraId="6F7A7B71" w14:textId="77777777" w:rsidTr="00383995">
        <w:tc>
          <w:tcPr>
            <w:tcW w:w="0" w:type="auto"/>
            <w:vMerge w:val="restart"/>
            <w:tcBorders>
              <w:top w:val="single" w:sz="4" w:space="0" w:color="auto"/>
            </w:tcBorders>
            <w:shd w:val="clear" w:color="auto" w:fill="95B3D7" w:themeFill="accent1" w:themeFillTint="99"/>
            <w:textDirection w:val="btLr"/>
          </w:tcPr>
          <w:p w14:paraId="783D3336" w14:textId="77777777" w:rsidR="00DA1347" w:rsidRPr="00906EDA" w:rsidRDefault="00040A83" w:rsidP="002858DF">
            <w:pPr>
              <w:spacing w:before="60" w:after="60"/>
              <w:ind w:left="113" w:right="113"/>
              <w:jc w:val="center"/>
              <w:rPr>
                <w:b/>
                <w:bCs/>
              </w:rPr>
            </w:pPr>
            <w:r w:rsidRPr="00906EDA">
              <w:rPr>
                <w:b/>
                <w:bCs/>
              </w:rPr>
              <w:t>Aufsichtsratsmitglieder</w:t>
            </w:r>
          </w:p>
        </w:tc>
        <w:tc>
          <w:tcPr>
            <w:tcW w:w="0" w:type="auto"/>
            <w:tcBorders>
              <w:top w:val="single" w:sz="4" w:space="0" w:color="auto"/>
            </w:tcBorders>
            <w:shd w:val="clear" w:color="auto" w:fill="FFFFFF" w:themeFill="background1"/>
          </w:tcPr>
          <w:p w14:paraId="5EE29BE5" w14:textId="77777777" w:rsidR="00DA1347" w:rsidRPr="00906EDA" w:rsidRDefault="00040A83" w:rsidP="002858DF">
            <w:pPr>
              <w:spacing w:before="60" w:after="60"/>
              <w:rPr>
                <w:sz w:val="18"/>
                <w:szCs w:val="18"/>
              </w:rPr>
            </w:pPr>
            <w:r w:rsidRPr="00906EDA">
              <w:rPr>
                <w:sz w:val="18"/>
                <w:szCs w:val="18"/>
              </w:rPr>
              <w:t>Dr. Hendrik Otto</w:t>
            </w:r>
          </w:p>
        </w:tc>
        <w:tc>
          <w:tcPr>
            <w:tcW w:w="689" w:type="dxa"/>
            <w:shd w:val="clear" w:color="auto" w:fill="FFFFFF" w:themeFill="background1"/>
          </w:tcPr>
          <w:p w14:paraId="36839501" w14:textId="5ABEA6D1" w:rsidR="00DA1347" w:rsidRPr="00906EDA" w:rsidRDefault="000A78A2" w:rsidP="003C6B80">
            <w:pPr>
              <w:spacing w:before="60" w:after="60"/>
              <w:jc w:val="center"/>
              <w:rPr>
                <w:sz w:val="32"/>
                <w:szCs w:val="32"/>
              </w:rPr>
            </w:pPr>
            <w:r w:rsidRPr="00906EDA">
              <w:rPr>
                <w:sz w:val="32"/>
                <w:szCs w:val="32"/>
              </w:rPr>
              <w:sym w:font="Wingdings" w:char="F0FB"/>
            </w:r>
          </w:p>
        </w:tc>
        <w:tc>
          <w:tcPr>
            <w:tcW w:w="689" w:type="dxa"/>
            <w:shd w:val="clear" w:color="auto" w:fill="FFFFFF" w:themeFill="background1"/>
          </w:tcPr>
          <w:p w14:paraId="70F82805" w14:textId="689EFD83" w:rsidR="00DA1347" w:rsidRPr="00906EDA" w:rsidRDefault="003C6B80" w:rsidP="003C6B80">
            <w:pPr>
              <w:spacing w:before="60" w:after="60"/>
              <w:jc w:val="center"/>
              <w:rPr>
                <w:sz w:val="20"/>
              </w:rPr>
            </w:pPr>
            <w:r w:rsidRPr="00906EDA">
              <w:rPr>
                <w:sz w:val="32"/>
                <w:szCs w:val="32"/>
              </w:rPr>
              <w:sym w:font="Wingdings" w:char="F0FB"/>
            </w:r>
          </w:p>
        </w:tc>
        <w:tc>
          <w:tcPr>
            <w:tcW w:w="708" w:type="dxa"/>
            <w:shd w:val="clear" w:color="auto" w:fill="FFFFFF" w:themeFill="background1"/>
          </w:tcPr>
          <w:p w14:paraId="7B242DCA" w14:textId="36707AE9" w:rsidR="00DA1347" w:rsidRPr="00906EDA" w:rsidRDefault="003C6B80" w:rsidP="003C6B80">
            <w:pPr>
              <w:spacing w:before="60" w:after="60"/>
              <w:jc w:val="center"/>
              <w:rPr>
                <w:sz w:val="20"/>
              </w:rPr>
            </w:pPr>
            <w:r w:rsidRPr="00906EDA">
              <w:rPr>
                <w:sz w:val="32"/>
                <w:szCs w:val="32"/>
              </w:rPr>
              <w:sym w:font="Wingdings" w:char="F0FB"/>
            </w:r>
          </w:p>
        </w:tc>
        <w:tc>
          <w:tcPr>
            <w:tcW w:w="688" w:type="dxa"/>
            <w:shd w:val="clear" w:color="auto" w:fill="FFFFFF" w:themeFill="background1"/>
          </w:tcPr>
          <w:p w14:paraId="35FDA6D4" w14:textId="1427FAD7" w:rsidR="00DA1347" w:rsidRPr="00906EDA" w:rsidRDefault="003C6B80" w:rsidP="003C6B80">
            <w:pPr>
              <w:spacing w:before="60" w:after="60"/>
              <w:jc w:val="center"/>
              <w:rPr>
                <w:sz w:val="20"/>
              </w:rPr>
            </w:pPr>
            <w:r w:rsidRPr="00906EDA">
              <w:rPr>
                <w:sz w:val="32"/>
                <w:szCs w:val="32"/>
              </w:rPr>
              <w:sym w:font="Wingdings" w:char="F0FB"/>
            </w:r>
          </w:p>
        </w:tc>
        <w:tc>
          <w:tcPr>
            <w:tcW w:w="688" w:type="dxa"/>
            <w:shd w:val="clear" w:color="auto" w:fill="FFFFFF" w:themeFill="background1"/>
          </w:tcPr>
          <w:p w14:paraId="5EF5E403" w14:textId="5CCEB470" w:rsidR="00DA1347" w:rsidRPr="00906EDA" w:rsidRDefault="003C6B80" w:rsidP="003C6B80">
            <w:pPr>
              <w:spacing w:before="60" w:after="60"/>
              <w:jc w:val="center"/>
              <w:rPr>
                <w:sz w:val="20"/>
              </w:rPr>
            </w:pPr>
            <w:r w:rsidRPr="00906EDA">
              <w:rPr>
                <w:sz w:val="32"/>
                <w:szCs w:val="32"/>
              </w:rPr>
              <w:sym w:font="Wingdings" w:char="F0FB"/>
            </w:r>
          </w:p>
        </w:tc>
        <w:tc>
          <w:tcPr>
            <w:tcW w:w="688" w:type="dxa"/>
            <w:shd w:val="clear" w:color="auto" w:fill="FFFFFF" w:themeFill="background1"/>
          </w:tcPr>
          <w:p w14:paraId="1A392E7E" w14:textId="00ED1E95" w:rsidR="00DA1347" w:rsidRPr="00906EDA" w:rsidRDefault="003C6B80" w:rsidP="003C6B80">
            <w:pPr>
              <w:spacing w:before="60" w:after="60"/>
              <w:jc w:val="center"/>
              <w:rPr>
                <w:sz w:val="20"/>
              </w:rPr>
            </w:pPr>
            <w:r w:rsidRPr="00906EDA">
              <w:rPr>
                <w:sz w:val="32"/>
                <w:szCs w:val="32"/>
              </w:rPr>
              <w:sym w:font="Wingdings" w:char="F0FB"/>
            </w:r>
          </w:p>
        </w:tc>
        <w:tc>
          <w:tcPr>
            <w:tcW w:w="708" w:type="dxa"/>
            <w:shd w:val="clear" w:color="auto" w:fill="FFFFFF" w:themeFill="background1"/>
          </w:tcPr>
          <w:p w14:paraId="1EB964BA" w14:textId="23BAF134" w:rsidR="00DA1347" w:rsidRPr="00906EDA" w:rsidRDefault="003C6B80" w:rsidP="003C6B80">
            <w:pPr>
              <w:spacing w:before="60" w:after="60"/>
              <w:jc w:val="center"/>
              <w:rPr>
                <w:sz w:val="20"/>
              </w:rPr>
            </w:pPr>
            <w:r w:rsidRPr="00906EDA">
              <w:rPr>
                <w:sz w:val="32"/>
                <w:szCs w:val="32"/>
              </w:rPr>
              <w:sym w:font="Wingdings" w:char="F0FB"/>
            </w:r>
          </w:p>
        </w:tc>
        <w:tc>
          <w:tcPr>
            <w:tcW w:w="688" w:type="dxa"/>
            <w:shd w:val="clear" w:color="auto" w:fill="FFFFFF" w:themeFill="background1"/>
          </w:tcPr>
          <w:p w14:paraId="4959FBF3" w14:textId="55C41EC6" w:rsidR="00DA1347" w:rsidRPr="00906EDA" w:rsidRDefault="003C6B80" w:rsidP="003C6B80">
            <w:pPr>
              <w:spacing w:before="60" w:after="60"/>
              <w:jc w:val="center"/>
              <w:rPr>
                <w:sz w:val="20"/>
              </w:rPr>
            </w:pPr>
            <w:r w:rsidRPr="00906EDA">
              <w:rPr>
                <w:sz w:val="32"/>
                <w:szCs w:val="32"/>
              </w:rPr>
              <w:sym w:font="Wingdings" w:char="F0FB"/>
            </w:r>
          </w:p>
        </w:tc>
        <w:tc>
          <w:tcPr>
            <w:tcW w:w="688" w:type="dxa"/>
            <w:shd w:val="clear" w:color="auto" w:fill="FFFFFF" w:themeFill="background1"/>
          </w:tcPr>
          <w:p w14:paraId="1C2384F4" w14:textId="5FDD70D3" w:rsidR="00DA1347" w:rsidRPr="00906EDA" w:rsidRDefault="003C6B80" w:rsidP="003C6B80">
            <w:pPr>
              <w:spacing w:before="60" w:after="60"/>
              <w:jc w:val="center"/>
              <w:rPr>
                <w:sz w:val="20"/>
              </w:rPr>
            </w:pPr>
            <w:r w:rsidRPr="00906EDA">
              <w:rPr>
                <w:sz w:val="32"/>
                <w:szCs w:val="32"/>
              </w:rPr>
              <w:sym w:font="Wingdings" w:char="F0FB"/>
            </w:r>
          </w:p>
        </w:tc>
        <w:tc>
          <w:tcPr>
            <w:tcW w:w="688" w:type="dxa"/>
            <w:shd w:val="clear" w:color="auto" w:fill="FFFFFF" w:themeFill="background1"/>
          </w:tcPr>
          <w:p w14:paraId="19B038CB" w14:textId="4D3E3D8C" w:rsidR="00DA1347" w:rsidRPr="00906EDA" w:rsidRDefault="003C6B80" w:rsidP="003C6B80">
            <w:pPr>
              <w:spacing w:before="60" w:after="60"/>
              <w:jc w:val="center"/>
              <w:rPr>
                <w:sz w:val="20"/>
              </w:rPr>
            </w:pPr>
            <w:r w:rsidRPr="00906EDA">
              <w:rPr>
                <w:sz w:val="32"/>
                <w:szCs w:val="32"/>
              </w:rPr>
              <w:sym w:font="Wingdings" w:char="F0FB"/>
            </w:r>
          </w:p>
        </w:tc>
        <w:tc>
          <w:tcPr>
            <w:tcW w:w="495" w:type="dxa"/>
            <w:shd w:val="clear" w:color="auto" w:fill="FFFFFF" w:themeFill="background1"/>
          </w:tcPr>
          <w:p w14:paraId="187F8769" w14:textId="67CBF71A" w:rsidR="00DA1347" w:rsidRPr="00906EDA" w:rsidRDefault="003C6B80" w:rsidP="003C6B80">
            <w:pPr>
              <w:spacing w:before="60" w:after="60"/>
              <w:jc w:val="center"/>
              <w:rPr>
                <w:sz w:val="20"/>
              </w:rPr>
            </w:pPr>
            <w:r w:rsidRPr="00906EDA">
              <w:rPr>
                <w:sz w:val="32"/>
                <w:szCs w:val="32"/>
              </w:rPr>
              <w:sym w:font="Wingdings" w:char="F0FB"/>
            </w:r>
          </w:p>
        </w:tc>
      </w:tr>
      <w:tr w:rsidR="00383995" w:rsidRPr="00906EDA" w14:paraId="2698AF98" w14:textId="77777777" w:rsidTr="00383995">
        <w:tc>
          <w:tcPr>
            <w:tcW w:w="0" w:type="auto"/>
            <w:vMerge/>
            <w:shd w:val="clear" w:color="auto" w:fill="95B3D7" w:themeFill="accent1" w:themeFillTint="99"/>
          </w:tcPr>
          <w:p w14:paraId="27E345CC" w14:textId="77777777" w:rsidR="00383995" w:rsidRPr="00906EDA" w:rsidRDefault="00383995" w:rsidP="00383995">
            <w:pPr>
              <w:spacing w:before="60" w:after="60"/>
            </w:pPr>
          </w:p>
        </w:tc>
        <w:tc>
          <w:tcPr>
            <w:tcW w:w="0" w:type="auto"/>
            <w:shd w:val="clear" w:color="auto" w:fill="FFFFFF" w:themeFill="background1"/>
          </w:tcPr>
          <w:p w14:paraId="54F95DDA" w14:textId="5D158CC1" w:rsidR="00383995" w:rsidRPr="00383995" w:rsidRDefault="00383995" w:rsidP="00383995">
            <w:pPr>
              <w:spacing w:before="60" w:after="60"/>
              <w:rPr>
                <w:sz w:val="18"/>
                <w:szCs w:val="18"/>
                <w:lang w:val="en-GB"/>
              </w:rPr>
            </w:pPr>
            <w:r w:rsidRPr="00906EDA">
              <w:rPr>
                <w:sz w:val="18"/>
                <w:szCs w:val="18"/>
                <w:lang w:val="en-GB"/>
              </w:rPr>
              <w:t xml:space="preserve">Prof. Dr. </w:t>
            </w:r>
            <w:r w:rsidRPr="00906EDA">
              <w:rPr>
                <w:sz w:val="18"/>
                <w:szCs w:val="18"/>
                <w:lang w:val="en-GB"/>
              </w:rPr>
              <w:br/>
              <w:t>Kai C. Andrejewski</w:t>
            </w:r>
          </w:p>
        </w:tc>
        <w:tc>
          <w:tcPr>
            <w:tcW w:w="689" w:type="dxa"/>
            <w:shd w:val="clear" w:color="auto" w:fill="FFFFFF" w:themeFill="background1"/>
          </w:tcPr>
          <w:p w14:paraId="7D925D9E" w14:textId="77777777" w:rsidR="00383995" w:rsidRPr="00383995" w:rsidRDefault="00383995" w:rsidP="00383995">
            <w:pPr>
              <w:spacing w:before="60" w:after="60"/>
              <w:jc w:val="center"/>
              <w:rPr>
                <w:sz w:val="32"/>
                <w:szCs w:val="32"/>
                <w:lang w:val="en-GB"/>
              </w:rPr>
            </w:pPr>
          </w:p>
        </w:tc>
        <w:tc>
          <w:tcPr>
            <w:tcW w:w="689" w:type="dxa"/>
            <w:shd w:val="clear" w:color="auto" w:fill="FFFFFF" w:themeFill="background1"/>
          </w:tcPr>
          <w:p w14:paraId="731E660A" w14:textId="1EC5ADA5" w:rsidR="00383995" w:rsidRPr="00906EDA" w:rsidRDefault="00383995" w:rsidP="00383995">
            <w:pPr>
              <w:spacing w:before="60" w:after="60"/>
              <w:jc w:val="center"/>
              <w:rPr>
                <w:sz w:val="32"/>
                <w:szCs w:val="32"/>
              </w:rPr>
            </w:pPr>
            <w:r w:rsidRPr="00906EDA">
              <w:rPr>
                <w:sz w:val="32"/>
                <w:szCs w:val="32"/>
              </w:rPr>
              <w:sym w:font="Wingdings" w:char="F0FB"/>
            </w:r>
          </w:p>
        </w:tc>
        <w:tc>
          <w:tcPr>
            <w:tcW w:w="708" w:type="dxa"/>
            <w:shd w:val="clear" w:color="auto" w:fill="FFFFFF" w:themeFill="background1"/>
          </w:tcPr>
          <w:p w14:paraId="703D8058" w14:textId="20A34B24" w:rsidR="00383995" w:rsidRPr="00906EDA" w:rsidRDefault="00383995" w:rsidP="00383995">
            <w:pPr>
              <w:spacing w:before="60" w:after="60"/>
              <w:jc w:val="center"/>
              <w:rPr>
                <w:sz w:val="20"/>
              </w:rPr>
            </w:pPr>
            <w:r w:rsidRPr="00906EDA">
              <w:rPr>
                <w:sz w:val="32"/>
                <w:szCs w:val="32"/>
              </w:rPr>
              <w:sym w:font="Wingdings" w:char="F0FB"/>
            </w:r>
          </w:p>
        </w:tc>
        <w:tc>
          <w:tcPr>
            <w:tcW w:w="688" w:type="dxa"/>
            <w:shd w:val="clear" w:color="auto" w:fill="FFFFFF" w:themeFill="background1"/>
          </w:tcPr>
          <w:p w14:paraId="0271B3C6" w14:textId="33866066" w:rsidR="00383995" w:rsidRPr="00906EDA" w:rsidRDefault="00383995" w:rsidP="00383995">
            <w:pPr>
              <w:spacing w:before="60" w:after="60"/>
              <w:jc w:val="center"/>
              <w:rPr>
                <w:sz w:val="32"/>
                <w:szCs w:val="32"/>
              </w:rPr>
            </w:pPr>
            <w:r w:rsidRPr="00906EDA">
              <w:rPr>
                <w:sz w:val="32"/>
                <w:szCs w:val="32"/>
              </w:rPr>
              <w:sym w:font="Wingdings" w:char="F0FB"/>
            </w:r>
          </w:p>
        </w:tc>
        <w:tc>
          <w:tcPr>
            <w:tcW w:w="688" w:type="dxa"/>
            <w:shd w:val="clear" w:color="auto" w:fill="FFFFFF" w:themeFill="background1"/>
          </w:tcPr>
          <w:p w14:paraId="5F0A5386" w14:textId="452CE4FF" w:rsidR="00383995" w:rsidRPr="00906EDA" w:rsidRDefault="00383995" w:rsidP="00383995">
            <w:pPr>
              <w:spacing w:before="60" w:after="60"/>
              <w:jc w:val="center"/>
              <w:rPr>
                <w:sz w:val="32"/>
                <w:szCs w:val="32"/>
              </w:rPr>
            </w:pPr>
            <w:r w:rsidRPr="00906EDA">
              <w:rPr>
                <w:sz w:val="32"/>
                <w:szCs w:val="32"/>
              </w:rPr>
              <w:sym w:font="Wingdings" w:char="F0FB"/>
            </w:r>
          </w:p>
        </w:tc>
        <w:tc>
          <w:tcPr>
            <w:tcW w:w="688" w:type="dxa"/>
            <w:shd w:val="clear" w:color="auto" w:fill="FFFFFF" w:themeFill="background1"/>
          </w:tcPr>
          <w:p w14:paraId="2A33160C" w14:textId="6659F076" w:rsidR="00383995" w:rsidRPr="00906EDA" w:rsidRDefault="00383995" w:rsidP="00383995">
            <w:pPr>
              <w:spacing w:before="60" w:after="60"/>
              <w:jc w:val="center"/>
              <w:rPr>
                <w:sz w:val="32"/>
                <w:szCs w:val="32"/>
              </w:rPr>
            </w:pPr>
            <w:r w:rsidRPr="00906EDA">
              <w:rPr>
                <w:sz w:val="32"/>
                <w:szCs w:val="32"/>
              </w:rPr>
              <w:sym w:font="Wingdings" w:char="F0FB"/>
            </w:r>
          </w:p>
        </w:tc>
        <w:tc>
          <w:tcPr>
            <w:tcW w:w="708" w:type="dxa"/>
            <w:shd w:val="clear" w:color="auto" w:fill="FFFFFF" w:themeFill="background1"/>
          </w:tcPr>
          <w:p w14:paraId="04E19717" w14:textId="236AD94D" w:rsidR="00383995" w:rsidRPr="00906EDA" w:rsidRDefault="00383995" w:rsidP="00383995">
            <w:pPr>
              <w:spacing w:before="60" w:after="60"/>
              <w:jc w:val="center"/>
              <w:rPr>
                <w:sz w:val="32"/>
                <w:szCs w:val="32"/>
              </w:rPr>
            </w:pPr>
            <w:r w:rsidRPr="00906EDA">
              <w:rPr>
                <w:sz w:val="32"/>
                <w:szCs w:val="32"/>
              </w:rPr>
              <w:sym w:font="Wingdings" w:char="F0FB"/>
            </w:r>
          </w:p>
        </w:tc>
        <w:tc>
          <w:tcPr>
            <w:tcW w:w="688" w:type="dxa"/>
            <w:shd w:val="clear" w:color="auto" w:fill="FFFFFF" w:themeFill="background1"/>
          </w:tcPr>
          <w:p w14:paraId="5D6E00D4" w14:textId="77777777" w:rsidR="00383995" w:rsidRPr="00906EDA" w:rsidRDefault="00383995" w:rsidP="00383995">
            <w:pPr>
              <w:spacing w:before="60" w:after="60"/>
              <w:jc w:val="center"/>
              <w:rPr>
                <w:sz w:val="32"/>
                <w:szCs w:val="32"/>
              </w:rPr>
            </w:pPr>
          </w:p>
        </w:tc>
        <w:tc>
          <w:tcPr>
            <w:tcW w:w="688" w:type="dxa"/>
            <w:shd w:val="clear" w:color="auto" w:fill="FFFFFF" w:themeFill="background1"/>
          </w:tcPr>
          <w:p w14:paraId="6022BD0D" w14:textId="551F312B" w:rsidR="00383995" w:rsidRPr="00906EDA" w:rsidRDefault="00383995" w:rsidP="00383995">
            <w:pPr>
              <w:spacing w:before="60" w:after="60"/>
              <w:jc w:val="center"/>
              <w:rPr>
                <w:sz w:val="32"/>
                <w:szCs w:val="32"/>
              </w:rPr>
            </w:pPr>
            <w:r w:rsidRPr="00906EDA">
              <w:rPr>
                <w:sz w:val="32"/>
                <w:szCs w:val="32"/>
              </w:rPr>
              <w:sym w:font="Wingdings" w:char="F0FB"/>
            </w:r>
          </w:p>
        </w:tc>
        <w:tc>
          <w:tcPr>
            <w:tcW w:w="688" w:type="dxa"/>
            <w:shd w:val="clear" w:color="auto" w:fill="FFFFFF" w:themeFill="background1"/>
          </w:tcPr>
          <w:p w14:paraId="2FBB751D" w14:textId="77777777" w:rsidR="00383995" w:rsidRPr="00906EDA" w:rsidRDefault="00383995" w:rsidP="00383995">
            <w:pPr>
              <w:spacing w:before="60" w:after="60"/>
              <w:jc w:val="center"/>
              <w:rPr>
                <w:sz w:val="20"/>
              </w:rPr>
            </w:pPr>
          </w:p>
        </w:tc>
        <w:tc>
          <w:tcPr>
            <w:tcW w:w="495" w:type="dxa"/>
            <w:shd w:val="clear" w:color="auto" w:fill="FFFFFF" w:themeFill="background1"/>
          </w:tcPr>
          <w:p w14:paraId="4588A7C3" w14:textId="28AE226D" w:rsidR="00383995" w:rsidRPr="00906EDA" w:rsidRDefault="00383995" w:rsidP="00383995">
            <w:pPr>
              <w:spacing w:before="60" w:after="60"/>
              <w:jc w:val="center"/>
              <w:rPr>
                <w:sz w:val="32"/>
                <w:szCs w:val="32"/>
              </w:rPr>
            </w:pPr>
            <w:r w:rsidRPr="00906EDA">
              <w:rPr>
                <w:sz w:val="32"/>
                <w:szCs w:val="32"/>
              </w:rPr>
              <w:sym w:font="Wingdings" w:char="F0FB"/>
            </w:r>
          </w:p>
        </w:tc>
      </w:tr>
      <w:tr w:rsidR="002E5262" w:rsidRPr="00906EDA" w14:paraId="010E1F51" w14:textId="77777777" w:rsidTr="00383995">
        <w:tc>
          <w:tcPr>
            <w:tcW w:w="0" w:type="auto"/>
            <w:vMerge/>
            <w:shd w:val="clear" w:color="auto" w:fill="95B3D7" w:themeFill="accent1" w:themeFillTint="99"/>
          </w:tcPr>
          <w:p w14:paraId="0AD3190D" w14:textId="77777777" w:rsidR="002E5262" w:rsidRPr="00906EDA" w:rsidRDefault="002E5262" w:rsidP="002E5262">
            <w:pPr>
              <w:spacing w:before="60" w:after="60"/>
            </w:pPr>
          </w:p>
        </w:tc>
        <w:tc>
          <w:tcPr>
            <w:tcW w:w="0" w:type="auto"/>
            <w:shd w:val="clear" w:color="auto" w:fill="FFFFFF" w:themeFill="background1"/>
          </w:tcPr>
          <w:p w14:paraId="5F74C90F" w14:textId="197AC602" w:rsidR="002E5262" w:rsidRPr="00906EDA" w:rsidRDefault="002E5262" w:rsidP="002E5262">
            <w:pPr>
              <w:spacing w:before="60" w:after="60"/>
              <w:rPr>
                <w:sz w:val="18"/>
                <w:szCs w:val="18"/>
              </w:rPr>
            </w:pPr>
            <w:r w:rsidRPr="00906EDA">
              <w:rPr>
                <w:sz w:val="18"/>
                <w:szCs w:val="18"/>
              </w:rPr>
              <w:t>Axel Holtrup</w:t>
            </w:r>
          </w:p>
        </w:tc>
        <w:tc>
          <w:tcPr>
            <w:tcW w:w="689" w:type="dxa"/>
            <w:shd w:val="clear" w:color="auto" w:fill="FFFFFF" w:themeFill="background1"/>
          </w:tcPr>
          <w:p w14:paraId="1E522D47" w14:textId="160B0103" w:rsidR="002E5262" w:rsidRPr="00906EDA" w:rsidRDefault="002E5262" w:rsidP="002E5262">
            <w:pPr>
              <w:spacing w:before="60" w:after="60"/>
              <w:jc w:val="center"/>
              <w:rPr>
                <w:sz w:val="32"/>
                <w:szCs w:val="32"/>
              </w:rPr>
            </w:pPr>
            <w:r w:rsidRPr="00906EDA">
              <w:rPr>
                <w:sz w:val="32"/>
                <w:szCs w:val="32"/>
              </w:rPr>
              <w:sym w:font="Wingdings" w:char="F0FB"/>
            </w:r>
          </w:p>
        </w:tc>
        <w:tc>
          <w:tcPr>
            <w:tcW w:w="689" w:type="dxa"/>
            <w:shd w:val="clear" w:color="auto" w:fill="FFFFFF" w:themeFill="background1"/>
          </w:tcPr>
          <w:p w14:paraId="519FB4B0" w14:textId="3F32921A" w:rsidR="002E5262" w:rsidRPr="00906EDA" w:rsidRDefault="002E5262" w:rsidP="002E5262">
            <w:pPr>
              <w:spacing w:before="60" w:after="60"/>
              <w:jc w:val="center"/>
              <w:rPr>
                <w:sz w:val="32"/>
                <w:szCs w:val="32"/>
              </w:rPr>
            </w:pPr>
            <w:r w:rsidRPr="00906EDA">
              <w:rPr>
                <w:sz w:val="32"/>
                <w:szCs w:val="32"/>
              </w:rPr>
              <w:sym w:font="Wingdings" w:char="F0FB"/>
            </w:r>
          </w:p>
        </w:tc>
        <w:tc>
          <w:tcPr>
            <w:tcW w:w="708" w:type="dxa"/>
            <w:shd w:val="clear" w:color="auto" w:fill="FFFFFF" w:themeFill="background1"/>
          </w:tcPr>
          <w:p w14:paraId="76E3B11B" w14:textId="121BCA43" w:rsidR="002E5262" w:rsidRPr="00906EDA" w:rsidRDefault="002E5262" w:rsidP="002E5262">
            <w:pPr>
              <w:spacing w:before="60" w:after="60"/>
              <w:jc w:val="center"/>
              <w:rPr>
                <w:sz w:val="32"/>
                <w:szCs w:val="32"/>
              </w:rPr>
            </w:pPr>
            <w:r w:rsidRPr="00906EDA">
              <w:rPr>
                <w:sz w:val="32"/>
                <w:szCs w:val="32"/>
              </w:rPr>
              <w:sym w:font="Wingdings" w:char="F0FB"/>
            </w:r>
          </w:p>
        </w:tc>
        <w:tc>
          <w:tcPr>
            <w:tcW w:w="688" w:type="dxa"/>
            <w:shd w:val="clear" w:color="auto" w:fill="FFFFFF" w:themeFill="background1"/>
          </w:tcPr>
          <w:p w14:paraId="180E4B9A" w14:textId="4F2B2582" w:rsidR="002E5262" w:rsidRPr="00906EDA" w:rsidRDefault="002E5262" w:rsidP="002E5262">
            <w:pPr>
              <w:spacing w:before="60" w:after="60"/>
              <w:jc w:val="center"/>
              <w:rPr>
                <w:sz w:val="32"/>
                <w:szCs w:val="32"/>
              </w:rPr>
            </w:pPr>
            <w:r w:rsidRPr="00906EDA">
              <w:rPr>
                <w:sz w:val="32"/>
                <w:szCs w:val="32"/>
              </w:rPr>
              <w:sym w:font="Wingdings" w:char="F0FB"/>
            </w:r>
          </w:p>
        </w:tc>
        <w:tc>
          <w:tcPr>
            <w:tcW w:w="688" w:type="dxa"/>
            <w:shd w:val="clear" w:color="auto" w:fill="FFFFFF" w:themeFill="background1"/>
          </w:tcPr>
          <w:p w14:paraId="777710E8" w14:textId="454ADCC5" w:rsidR="002E5262" w:rsidRPr="00906EDA" w:rsidRDefault="002E5262" w:rsidP="002E5262">
            <w:pPr>
              <w:spacing w:before="60" w:after="60"/>
              <w:jc w:val="center"/>
              <w:rPr>
                <w:sz w:val="32"/>
                <w:szCs w:val="32"/>
              </w:rPr>
            </w:pPr>
            <w:r w:rsidRPr="00906EDA">
              <w:rPr>
                <w:sz w:val="32"/>
                <w:szCs w:val="32"/>
              </w:rPr>
              <w:sym w:font="Wingdings" w:char="F0FB"/>
            </w:r>
          </w:p>
        </w:tc>
        <w:tc>
          <w:tcPr>
            <w:tcW w:w="688" w:type="dxa"/>
            <w:shd w:val="clear" w:color="auto" w:fill="FFFFFF" w:themeFill="background1"/>
          </w:tcPr>
          <w:p w14:paraId="2DD09CCD" w14:textId="640444A9" w:rsidR="002E5262" w:rsidRPr="00906EDA" w:rsidRDefault="002E5262" w:rsidP="002E5262">
            <w:pPr>
              <w:spacing w:before="60" w:after="60"/>
              <w:jc w:val="center"/>
              <w:rPr>
                <w:sz w:val="32"/>
                <w:szCs w:val="32"/>
              </w:rPr>
            </w:pPr>
            <w:r w:rsidRPr="00906EDA">
              <w:rPr>
                <w:sz w:val="32"/>
                <w:szCs w:val="32"/>
              </w:rPr>
              <w:sym w:font="Wingdings" w:char="F0FB"/>
            </w:r>
          </w:p>
        </w:tc>
        <w:tc>
          <w:tcPr>
            <w:tcW w:w="708" w:type="dxa"/>
            <w:shd w:val="clear" w:color="auto" w:fill="FFFFFF" w:themeFill="background1"/>
          </w:tcPr>
          <w:p w14:paraId="371C3C84" w14:textId="12CAF218" w:rsidR="002E5262" w:rsidRPr="00906EDA" w:rsidRDefault="002E5262" w:rsidP="002E5262">
            <w:pPr>
              <w:spacing w:before="60" w:after="60"/>
              <w:jc w:val="center"/>
              <w:rPr>
                <w:sz w:val="32"/>
                <w:szCs w:val="32"/>
              </w:rPr>
            </w:pPr>
            <w:r w:rsidRPr="00906EDA">
              <w:rPr>
                <w:sz w:val="32"/>
                <w:szCs w:val="32"/>
              </w:rPr>
              <w:sym w:font="Wingdings" w:char="F0FB"/>
            </w:r>
          </w:p>
        </w:tc>
        <w:tc>
          <w:tcPr>
            <w:tcW w:w="688" w:type="dxa"/>
            <w:shd w:val="clear" w:color="auto" w:fill="FFFFFF" w:themeFill="background1"/>
          </w:tcPr>
          <w:p w14:paraId="514A57D6" w14:textId="77777777" w:rsidR="002E5262" w:rsidRPr="00906EDA" w:rsidRDefault="002E5262" w:rsidP="002E5262">
            <w:pPr>
              <w:spacing w:before="60" w:after="60"/>
              <w:jc w:val="center"/>
              <w:rPr>
                <w:sz w:val="20"/>
              </w:rPr>
            </w:pPr>
          </w:p>
        </w:tc>
        <w:tc>
          <w:tcPr>
            <w:tcW w:w="688" w:type="dxa"/>
            <w:shd w:val="clear" w:color="auto" w:fill="FFFFFF" w:themeFill="background1"/>
          </w:tcPr>
          <w:p w14:paraId="2C189C50" w14:textId="77777777" w:rsidR="002E5262" w:rsidRPr="00906EDA" w:rsidRDefault="002E5262" w:rsidP="002E5262">
            <w:pPr>
              <w:spacing w:before="60" w:after="60"/>
              <w:jc w:val="center"/>
              <w:rPr>
                <w:sz w:val="20"/>
              </w:rPr>
            </w:pPr>
          </w:p>
        </w:tc>
        <w:tc>
          <w:tcPr>
            <w:tcW w:w="688" w:type="dxa"/>
            <w:shd w:val="clear" w:color="auto" w:fill="FFFFFF" w:themeFill="background1"/>
          </w:tcPr>
          <w:p w14:paraId="47316E4C" w14:textId="77777777" w:rsidR="002E5262" w:rsidRPr="00906EDA" w:rsidRDefault="002E5262" w:rsidP="002E5262">
            <w:pPr>
              <w:spacing w:before="60" w:after="60"/>
              <w:jc w:val="center"/>
              <w:rPr>
                <w:sz w:val="20"/>
              </w:rPr>
            </w:pPr>
          </w:p>
        </w:tc>
        <w:tc>
          <w:tcPr>
            <w:tcW w:w="495" w:type="dxa"/>
            <w:shd w:val="clear" w:color="auto" w:fill="FFFFFF" w:themeFill="background1"/>
          </w:tcPr>
          <w:p w14:paraId="4E612D27" w14:textId="0EB64F60" w:rsidR="002E5262" w:rsidRPr="00906EDA" w:rsidRDefault="002E5262" w:rsidP="002E5262">
            <w:pPr>
              <w:spacing w:before="60" w:after="60"/>
              <w:jc w:val="center"/>
              <w:rPr>
                <w:sz w:val="32"/>
                <w:szCs w:val="32"/>
              </w:rPr>
            </w:pPr>
            <w:r w:rsidRPr="00906EDA">
              <w:rPr>
                <w:sz w:val="32"/>
                <w:szCs w:val="32"/>
              </w:rPr>
              <w:sym w:font="Wingdings" w:char="F0FB"/>
            </w:r>
          </w:p>
        </w:tc>
      </w:tr>
      <w:tr w:rsidR="007A070F" w:rsidRPr="00906EDA" w14:paraId="545AC458" w14:textId="77777777" w:rsidTr="00383995">
        <w:tc>
          <w:tcPr>
            <w:tcW w:w="0" w:type="auto"/>
            <w:vMerge/>
            <w:shd w:val="clear" w:color="auto" w:fill="95B3D7" w:themeFill="accent1" w:themeFillTint="99"/>
          </w:tcPr>
          <w:p w14:paraId="022D3500" w14:textId="77777777" w:rsidR="007A070F" w:rsidRPr="00906EDA" w:rsidRDefault="007A070F" w:rsidP="007A070F">
            <w:pPr>
              <w:spacing w:before="60" w:after="60"/>
            </w:pPr>
          </w:p>
        </w:tc>
        <w:tc>
          <w:tcPr>
            <w:tcW w:w="0" w:type="auto"/>
            <w:shd w:val="clear" w:color="auto" w:fill="FFFFFF" w:themeFill="background1"/>
          </w:tcPr>
          <w:p w14:paraId="1B56E80A" w14:textId="4D617412" w:rsidR="007A070F" w:rsidRPr="00906EDA" w:rsidRDefault="007A070F" w:rsidP="007A070F">
            <w:pPr>
              <w:spacing w:before="60" w:after="60"/>
              <w:rPr>
                <w:sz w:val="18"/>
                <w:szCs w:val="18"/>
              </w:rPr>
            </w:pPr>
            <w:r w:rsidRPr="00906EDA">
              <w:rPr>
                <w:sz w:val="18"/>
                <w:szCs w:val="18"/>
              </w:rPr>
              <w:t>Dr. Kathrin Köhling</w:t>
            </w:r>
          </w:p>
        </w:tc>
        <w:tc>
          <w:tcPr>
            <w:tcW w:w="689" w:type="dxa"/>
            <w:shd w:val="clear" w:color="auto" w:fill="FFFFFF" w:themeFill="background1"/>
          </w:tcPr>
          <w:p w14:paraId="70109376" w14:textId="4A960925" w:rsidR="007A070F" w:rsidRPr="00906EDA" w:rsidRDefault="007A070F" w:rsidP="007A070F">
            <w:pPr>
              <w:spacing w:before="60" w:after="60"/>
              <w:jc w:val="center"/>
            </w:pPr>
          </w:p>
        </w:tc>
        <w:tc>
          <w:tcPr>
            <w:tcW w:w="689" w:type="dxa"/>
            <w:shd w:val="clear" w:color="auto" w:fill="FFFFFF" w:themeFill="background1"/>
          </w:tcPr>
          <w:p w14:paraId="46F5FFD1" w14:textId="6BA57F32" w:rsidR="007A070F" w:rsidRPr="00906EDA" w:rsidRDefault="007A070F" w:rsidP="007A070F">
            <w:pPr>
              <w:spacing w:before="60" w:after="60"/>
              <w:jc w:val="center"/>
              <w:rPr>
                <w:sz w:val="20"/>
              </w:rPr>
            </w:pPr>
            <w:r w:rsidRPr="00906EDA">
              <w:rPr>
                <w:sz w:val="32"/>
                <w:szCs w:val="32"/>
              </w:rPr>
              <w:sym w:font="Wingdings" w:char="F0FB"/>
            </w:r>
          </w:p>
        </w:tc>
        <w:tc>
          <w:tcPr>
            <w:tcW w:w="708" w:type="dxa"/>
            <w:shd w:val="clear" w:color="auto" w:fill="FFFFFF" w:themeFill="background1"/>
          </w:tcPr>
          <w:p w14:paraId="6663C8C5" w14:textId="470D85A5" w:rsidR="007A070F" w:rsidRPr="00906EDA" w:rsidRDefault="007A070F" w:rsidP="007A070F">
            <w:pPr>
              <w:spacing w:before="60" w:after="60"/>
              <w:jc w:val="center"/>
              <w:rPr>
                <w:sz w:val="20"/>
              </w:rPr>
            </w:pPr>
            <w:r w:rsidRPr="00906EDA">
              <w:rPr>
                <w:sz w:val="32"/>
                <w:szCs w:val="32"/>
              </w:rPr>
              <w:sym w:font="Wingdings" w:char="F0FB"/>
            </w:r>
          </w:p>
        </w:tc>
        <w:tc>
          <w:tcPr>
            <w:tcW w:w="688" w:type="dxa"/>
            <w:shd w:val="clear" w:color="auto" w:fill="FFFFFF" w:themeFill="background1"/>
          </w:tcPr>
          <w:p w14:paraId="1D1A1139" w14:textId="6CCCD4BE" w:rsidR="007A070F" w:rsidRPr="00906EDA" w:rsidRDefault="007A070F" w:rsidP="007A070F">
            <w:pPr>
              <w:spacing w:before="60" w:after="60"/>
              <w:jc w:val="center"/>
              <w:rPr>
                <w:sz w:val="20"/>
              </w:rPr>
            </w:pPr>
            <w:r w:rsidRPr="00906EDA">
              <w:rPr>
                <w:sz w:val="32"/>
                <w:szCs w:val="32"/>
              </w:rPr>
              <w:sym w:font="Wingdings" w:char="F0FB"/>
            </w:r>
          </w:p>
        </w:tc>
        <w:tc>
          <w:tcPr>
            <w:tcW w:w="688" w:type="dxa"/>
            <w:shd w:val="clear" w:color="auto" w:fill="FFFFFF" w:themeFill="background1"/>
          </w:tcPr>
          <w:p w14:paraId="0C138184" w14:textId="090A7A02" w:rsidR="007A070F" w:rsidRPr="00906EDA" w:rsidRDefault="007A070F" w:rsidP="007A070F">
            <w:pPr>
              <w:spacing w:before="60" w:after="60"/>
              <w:jc w:val="center"/>
              <w:rPr>
                <w:sz w:val="20"/>
              </w:rPr>
            </w:pPr>
            <w:r w:rsidRPr="00906EDA">
              <w:rPr>
                <w:sz w:val="32"/>
                <w:szCs w:val="32"/>
              </w:rPr>
              <w:sym w:font="Wingdings" w:char="F0FB"/>
            </w:r>
          </w:p>
        </w:tc>
        <w:tc>
          <w:tcPr>
            <w:tcW w:w="688" w:type="dxa"/>
            <w:shd w:val="clear" w:color="auto" w:fill="FFFFFF" w:themeFill="background1"/>
          </w:tcPr>
          <w:p w14:paraId="635C5535" w14:textId="71F7514D" w:rsidR="007A070F" w:rsidRPr="00906EDA" w:rsidRDefault="007A070F" w:rsidP="007A070F">
            <w:pPr>
              <w:spacing w:before="60" w:after="60"/>
              <w:jc w:val="center"/>
              <w:rPr>
                <w:sz w:val="20"/>
              </w:rPr>
            </w:pPr>
            <w:r w:rsidRPr="00906EDA">
              <w:rPr>
                <w:sz w:val="32"/>
                <w:szCs w:val="32"/>
              </w:rPr>
              <w:sym w:font="Wingdings" w:char="F0FB"/>
            </w:r>
          </w:p>
        </w:tc>
        <w:tc>
          <w:tcPr>
            <w:tcW w:w="708" w:type="dxa"/>
            <w:shd w:val="clear" w:color="auto" w:fill="FFFFFF" w:themeFill="background1"/>
          </w:tcPr>
          <w:p w14:paraId="683DAB31" w14:textId="37F6E81D" w:rsidR="007A070F" w:rsidRPr="00906EDA" w:rsidRDefault="007A070F" w:rsidP="007A070F">
            <w:pPr>
              <w:spacing w:before="60" w:after="60"/>
              <w:jc w:val="center"/>
              <w:rPr>
                <w:sz w:val="20"/>
              </w:rPr>
            </w:pPr>
            <w:r w:rsidRPr="00906EDA">
              <w:rPr>
                <w:sz w:val="32"/>
                <w:szCs w:val="32"/>
              </w:rPr>
              <w:sym w:font="Wingdings" w:char="F0FB"/>
            </w:r>
          </w:p>
        </w:tc>
        <w:tc>
          <w:tcPr>
            <w:tcW w:w="688" w:type="dxa"/>
            <w:shd w:val="clear" w:color="auto" w:fill="FFFFFF" w:themeFill="background1"/>
          </w:tcPr>
          <w:p w14:paraId="20DD67F2" w14:textId="77777777" w:rsidR="007A070F" w:rsidRPr="00906EDA" w:rsidRDefault="007A070F" w:rsidP="007A070F">
            <w:pPr>
              <w:spacing w:before="60" w:after="60"/>
              <w:jc w:val="center"/>
              <w:rPr>
                <w:sz w:val="20"/>
              </w:rPr>
            </w:pPr>
          </w:p>
        </w:tc>
        <w:tc>
          <w:tcPr>
            <w:tcW w:w="688" w:type="dxa"/>
            <w:shd w:val="clear" w:color="auto" w:fill="FFFFFF" w:themeFill="background1"/>
          </w:tcPr>
          <w:p w14:paraId="68E96D07" w14:textId="1633852B" w:rsidR="007A070F" w:rsidRPr="00906EDA" w:rsidRDefault="007A070F" w:rsidP="007A070F">
            <w:pPr>
              <w:spacing w:before="60" w:after="60"/>
              <w:jc w:val="center"/>
              <w:rPr>
                <w:sz w:val="20"/>
              </w:rPr>
            </w:pPr>
            <w:r w:rsidRPr="00906EDA">
              <w:rPr>
                <w:sz w:val="32"/>
                <w:szCs w:val="32"/>
              </w:rPr>
              <w:sym w:font="Wingdings" w:char="F0FB"/>
            </w:r>
          </w:p>
        </w:tc>
        <w:tc>
          <w:tcPr>
            <w:tcW w:w="688" w:type="dxa"/>
            <w:shd w:val="clear" w:color="auto" w:fill="FFFFFF" w:themeFill="background1"/>
          </w:tcPr>
          <w:p w14:paraId="5E0895A2" w14:textId="368D88BD" w:rsidR="007A070F" w:rsidRPr="00906EDA" w:rsidRDefault="004B671B" w:rsidP="007A070F">
            <w:pPr>
              <w:spacing w:before="60" w:after="60"/>
              <w:jc w:val="center"/>
              <w:rPr>
                <w:sz w:val="20"/>
              </w:rPr>
            </w:pPr>
            <w:r w:rsidRPr="00906EDA">
              <w:rPr>
                <w:sz w:val="32"/>
                <w:szCs w:val="32"/>
              </w:rPr>
              <w:sym w:font="Wingdings" w:char="F0FB"/>
            </w:r>
          </w:p>
        </w:tc>
        <w:tc>
          <w:tcPr>
            <w:tcW w:w="495" w:type="dxa"/>
            <w:shd w:val="clear" w:color="auto" w:fill="FFFFFF" w:themeFill="background1"/>
          </w:tcPr>
          <w:p w14:paraId="0A615DDE" w14:textId="518873EC" w:rsidR="007A070F" w:rsidRPr="00906EDA" w:rsidRDefault="007A070F" w:rsidP="007A070F">
            <w:pPr>
              <w:spacing w:before="60" w:after="60"/>
              <w:jc w:val="center"/>
              <w:rPr>
                <w:sz w:val="20"/>
              </w:rPr>
            </w:pPr>
            <w:r w:rsidRPr="00906EDA">
              <w:rPr>
                <w:sz w:val="32"/>
                <w:szCs w:val="32"/>
              </w:rPr>
              <w:sym w:font="Wingdings" w:char="F0FB"/>
            </w:r>
          </w:p>
        </w:tc>
      </w:tr>
      <w:tr w:rsidR="00383995" w:rsidRPr="00906EDA" w14:paraId="41C7510A" w14:textId="77777777" w:rsidTr="00383995">
        <w:tc>
          <w:tcPr>
            <w:tcW w:w="0" w:type="auto"/>
            <w:vMerge/>
            <w:shd w:val="clear" w:color="auto" w:fill="95B3D7" w:themeFill="accent1" w:themeFillTint="99"/>
          </w:tcPr>
          <w:p w14:paraId="4D1185BF" w14:textId="77777777" w:rsidR="00383995" w:rsidRPr="00906EDA" w:rsidRDefault="00383995" w:rsidP="00383995">
            <w:pPr>
              <w:spacing w:before="60" w:after="60"/>
            </w:pPr>
          </w:p>
        </w:tc>
        <w:tc>
          <w:tcPr>
            <w:tcW w:w="0" w:type="auto"/>
            <w:shd w:val="clear" w:color="auto" w:fill="FFFFFF" w:themeFill="background1"/>
          </w:tcPr>
          <w:p w14:paraId="3444D7F0" w14:textId="08F14A66" w:rsidR="00383995" w:rsidRPr="00906EDA" w:rsidRDefault="00383995" w:rsidP="00383995">
            <w:pPr>
              <w:spacing w:before="60" w:after="60"/>
              <w:rPr>
                <w:sz w:val="18"/>
                <w:szCs w:val="18"/>
              </w:rPr>
            </w:pPr>
            <w:r w:rsidRPr="00906EDA">
              <w:rPr>
                <w:sz w:val="18"/>
                <w:szCs w:val="18"/>
              </w:rPr>
              <w:t xml:space="preserve">Dr. Jörg </w:t>
            </w:r>
            <w:r w:rsidRPr="00906EDA">
              <w:rPr>
                <w:sz w:val="18"/>
                <w:szCs w:val="18"/>
              </w:rPr>
              <w:br/>
              <w:t>Wulfken</w:t>
            </w:r>
          </w:p>
        </w:tc>
        <w:tc>
          <w:tcPr>
            <w:tcW w:w="689" w:type="dxa"/>
            <w:shd w:val="clear" w:color="auto" w:fill="FFFFFF" w:themeFill="background1"/>
          </w:tcPr>
          <w:p w14:paraId="501CED13" w14:textId="2BBFD16B" w:rsidR="00383995" w:rsidRPr="00906EDA" w:rsidRDefault="00383995" w:rsidP="00383995">
            <w:pPr>
              <w:spacing w:before="60" w:after="60"/>
              <w:jc w:val="center"/>
            </w:pPr>
            <w:r w:rsidRPr="00906EDA">
              <w:rPr>
                <w:sz w:val="32"/>
                <w:szCs w:val="32"/>
              </w:rPr>
              <w:sym w:font="Wingdings" w:char="F0FB"/>
            </w:r>
          </w:p>
        </w:tc>
        <w:tc>
          <w:tcPr>
            <w:tcW w:w="689" w:type="dxa"/>
            <w:shd w:val="clear" w:color="auto" w:fill="FFFFFF" w:themeFill="background1"/>
          </w:tcPr>
          <w:p w14:paraId="00BFD869" w14:textId="78D1CFB5" w:rsidR="00383995" w:rsidRPr="00906EDA" w:rsidRDefault="00383995" w:rsidP="00383995">
            <w:pPr>
              <w:spacing w:before="60" w:after="60"/>
              <w:jc w:val="center"/>
              <w:rPr>
                <w:sz w:val="32"/>
                <w:szCs w:val="32"/>
              </w:rPr>
            </w:pPr>
            <w:r w:rsidRPr="00906EDA">
              <w:rPr>
                <w:sz w:val="32"/>
                <w:szCs w:val="32"/>
              </w:rPr>
              <w:sym w:font="Wingdings" w:char="F0FB"/>
            </w:r>
          </w:p>
        </w:tc>
        <w:tc>
          <w:tcPr>
            <w:tcW w:w="708" w:type="dxa"/>
            <w:shd w:val="clear" w:color="auto" w:fill="FFFFFF" w:themeFill="background1"/>
          </w:tcPr>
          <w:p w14:paraId="5ADDD3D7" w14:textId="77777777" w:rsidR="00383995" w:rsidRPr="00906EDA" w:rsidRDefault="00383995" w:rsidP="00383995">
            <w:pPr>
              <w:spacing w:before="60" w:after="60"/>
              <w:jc w:val="center"/>
              <w:rPr>
                <w:sz w:val="32"/>
                <w:szCs w:val="32"/>
              </w:rPr>
            </w:pPr>
          </w:p>
        </w:tc>
        <w:tc>
          <w:tcPr>
            <w:tcW w:w="688" w:type="dxa"/>
            <w:shd w:val="clear" w:color="auto" w:fill="FFFFFF" w:themeFill="background1"/>
          </w:tcPr>
          <w:p w14:paraId="0B14B295" w14:textId="241A4ACB" w:rsidR="00383995" w:rsidRPr="00906EDA" w:rsidRDefault="00383995" w:rsidP="00383995">
            <w:pPr>
              <w:spacing w:before="60" w:after="60"/>
              <w:jc w:val="center"/>
              <w:rPr>
                <w:sz w:val="32"/>
                <w:szCs w:val="32"/>
              </w:rPr>
            </w:pPr>
            <w:r w:rsidRPr="00906EDA">
              <w:rPr>
                <w:sz w:val="32"/>
                <w:szCs w:val="32"/>
              </w:rPr>
              <w:sym w:font="Wingdings" w:char="F0FB"/>
            </w:r>
          </w:p>
        </w:tc>
        <w:tc>
          <w:tcPr>
            <w:tcW w:w="688" w:type="dxa"/>
            <w:shd w:val="clear" w:color="auto" w:fill="FFFFFF" w:themeFill="background1"/>
          </w:tcPr>
          <w:p w14:paraId="3413A40B" w14:textId="1FB400ED" w:rsidR="00383995" w:rsidRPr="00906EDA" w:rsidRDefault="00383995" w:rsidP="00383995">
            <w:pPr>
              <w:spacing w:before="60" w:after="60"/>
              <w:jc w:val="center"/>
              <w:rPr>
                <w:sz w:val="32"/>
                <w:szCs w:val="32"/>
              </w:rPr>
            </w:pPr>
            <w:r w:rsidRPr="00906EDA">
              <w:rPr>
                <w:sz w:val="32"/>
                <w:szCs w:val="32"/>
              </w:rPr>
              <w:sym w:font="Wingdings" w:char="F0FB"/>
            </w:r>
          </w:p>
        </w:tc>
        <w:tc>
          <w:tcPr>
            <w:tcW w:w="688" w:type="dxa"/>
            <w:shd w:val="clear" w:color="auto" w:fill="FFFFFF" w:themeFill="background1"/>
          </w:tcPr>
          <w:p w14:paraId="70891063" w14:textId="579439E5" w:rsidR="00383995" w:rsidRPr="00906EDA" w:rsidRDefault="00383995" w:rsidP="00383995">
            <w:pPr>
              <w:spacing w:before="60" w:after="60"/>
              <w:jc w:val="center"/>
              <w:rPr>
                <w:sz w:val="32"/>
                <w:szCs w:val="32"/>
              </w:rPr>
            </w:pPr>
            <w:r w:rsidRPr="00906EDA">
              <w:rPr>
                <w:sz w:val="32"/>
                <w:szCs w:val="32"/>
              </w:rPr>
              <w:sym w:font="Wingdings" w:char="F0FB"/>
            </w:r>
          </w:p>
        </w:tc>
        <w:tc>
          <w:tcPr>
            <w:tcW w:w="708" w:type="dxa"/>
            <w:shd w:val="clear" w:color="auto" w:fill="FFFFFF" w:themeFill="background1"/>
          </w:tcPr>
          <w:p w14:paraId="5546905D" w14:textId="6C7DF010" w:rsidR="00383995" w:rsidRPr="00906EDA" w:rsidRDefault="00383995" w:rsidP="00383995">
            <w:pPr>
              <w:spacing w:before="60" w:after="60"/>
              <w:jc w:val="center"/>
              <w:rPr>
                <w:sz w:val="32"/>
                <w:szCs w:val="32"/>
              </w:rPr>
            </w:pPr>
            <w:r w:rsidRPr="00906EDA">
              <w:rPr>
                <w:sz w:val="32"/>
                <w:szCs w:val="32"/>
              </w:rPr>
              <w:sym w:font="Wingdings" w:char="F0FB"/>
            </w:r>
          </w:p>
        </w:tc>
        <w:tc>
          <w:tcPr>
            <w:tcW w:w="688" w:type="dxa"/>
            <w:shd w:val="clear" w:color="auto" w:fill="FFFFFF" w:themeFill="background1"/>
          </w:tcPr>
          <w:p w14:paraId="0F1D16EE" w14:textId="366F88E7" w:rsidR="00383995" w:rsidRPr="00906EDA" w:rsidRDefault="00383995" w:rsidP="00383995">
            <w:pPr>
              <w:spacing w:before="60" w:after="60"/>
              <w:jc w:val="center"/>
              <w:rPr>
                <w:sz w:val="20"/>
              </w:rPr>
            </w:pPr>
            <w:r w:rsidRPr="00906EDA">
              <w:rPr>
                <w:sz w:val="32"/>
                <w:szCs w:val="32"/>
              </w:rPr>
              <w:sym w:font="Wingdings" w:char="F0FB"/>
            </w:r>
          </w:p>
        </w:tc>
        <w:tc>
          <w:tcPr>
            <w:tcW w:w="688" w:type="dxa"/>
            <w:shd w:val="clear" w:color="auto" w:fill="FFFFFF" w:themeFill="background1"/>
          </w:tcPr>
          <w:p w14:paraId="6A056573" w14:textId="6FE3DFC1" w:rsidR="00383995" w:rsidRPr="00906EDA" w:rsidRDefault="00383995" w:rsidP="00383995">
            <w:pPr>
              <w:spacing w:before="60" w:after="60"/>
              <w:jc w:val="center"/>
              <w:rPr>
                <w:sz w:val="32"/>
                <w:szCs w:val="32"/>
              </w:rPr>
            </w:pPr>
            <w:r w:rsidRPr="00906EDA">
              <w:rPr>
                <w:sz w:val="32"/>
                <w:szCs w:val="32"/>
              </w:rPr>
              <w:sym w:font="Wingdings" w:char="F0FB"/>
            </w:r>
          </w:p>
        </w:tc>
        <w:tc>
          <w:tcPr>
            <w:tcW w:w="688" w:type="dxa"/>
            <w:shd w:val="clear" w:color="auto" w:fill="FFFFFF" w:themeFill="background1"/>
          </w:tcPr>
          <w:p w14:paraId="6C11E76F" w14:textId="77777777" w:rsidR="00383995" w:rsidRPr="00906EDA" w:rsidRDefault="00383995" w:rsidP="00383995">
            <w:pPr>
              <w:spacing w:before="60" w:after="60"/>
              <w:jc w:val="center"/>
              <w:rPr>
                <w:sz w:val="32"/>
                <w:szCs w:val="32"/>
              </w:rPr>
            </w:pPr>
          </w:p>
        </w:tc>
        <w:tc>
          <w:tcPr>
            <w:tcW w:w="495" w:type="dxa"/>
            <w:shd w:val="clear" w:color="auto" w:fill="FFFFFF" w:themeFill="background1"/>
          </w:tcPr>
          <w:p w14:paraId="05E8746E" w14:textId="140BE727" w:rsidR="00383995" w:rsidRPr="00906EDA" w:rsidRDefault="00383995" w:rsidP="00383995">
            <w:pPr>
              <w:spacing w:before="60" w:after="60"/>
              <w:jc w:val="center"/>
              <w:rPr>
                <w:sz w:val="32"/>
                <w:szCs w:val="32"/>
              </w:rPr>
            </w:pPr>
            <w:r w:rsidRPr="00906EDA">
              <w:rPr>
                <w:sz w:val="32"/>
                <w:szCs w:val="32"/>
              </w:rPr>
              <w:sym w:font="Wingdings" w:char="F0FB"/>
            </w:r>
          </w:p>
        </w:tc>
      </w:tr>
      <w:tr w:rsidR="00584893" w:rsidRPr="00906EDA" w14:paraId="4A45ECCB" w14:textId="77777777" w:rsidTr="00383995">
        <w:tc>
          <w:tcPr>
            <w:tcW w:w="0" w:type="auto"/>
            <w:vMerge/>
            <w:shd w:val="clear" w:color="auto" w:fill="95B3D7" w:themeFill="accent1" w:themeFillTint="99"/>
          </w:tcPr>
          <w:p w14:paraId="78C36829" w14:textId="77777777" w:rsidR="00DA1347" w:rsidRPr="00906EDA" w:rsidRDefault="00DA1347" w:rsidP="002858DF">
            <w:pPr>
              <w:spacing w:before="60" w:after="60"/>
            </w:pPr>
          </w:p>
        </w:tc>
        <w:tc>
          <w:tcPr>
            <w:tcW w:w="0" w:type="auto"/>
            <w:shd w:val="clear" w:color="auto" w:fill="FFFFFF" w:themeFill="background1"/>
          </w:tcPr>
          <w:p w14:paraId="7B7FF64F" w14:textId="0B111AF5" w:rsidR="00DA1347" w:rsidRPr="005D38AE" w:rsidRDefault="00040A83" w:rsidP="002858DF">
            <w:pPr>
              <w:spacing w:before="60" w:after="60"/>
              <w:rPr>
                <w:i/>
                <w:iCs/>
                <w:sz w:val="18"/>
                <w:szCs w:val="18"/>
              </w:rPr>
            </w:pPr>
            <w:r w:rsidRPr="005D38AE">
              <w:rPr>
                <w:i/>
                <w:iCs/>
                <w:sz w:val="18"/>
                <w:szCs w:val="18"/>
              </w:rPr>
              <w:t>Dr</w:t>
            </w:r>
            <w:r w:rsidR="008003AD" w:rsidRPr="005D38AE">
              <w:rPr>
                <w:i/>
                <w:iCs/>
                <w:sz w:val="18"/>
                <w:szCs w:val="18"/>
              </w:rPr>
              <w:t xml:space="preserve">. </w:t>
            </w:r>
            <w:r w:rsidRPr="005D38AE">
              <w:rPr>
                <w:i/>
                <w:iCs/>
                <w:sz w:val="18"/>
                <w:szCs w:val="18"/>
              </w:rPr>
              <w:t>Maximilian</w:t>
            </w:r>
            <w:r w:rsidR="008003AD" w:rsidRPr="005D38AE">
              <w:rPr>
                <w:i/>
                <w:iCs/>
                <w:sz w:val="18"/>
                <w:szCs w:val="18"/>
              </w:rPr>
              <w:t xml:space="preserve"> </w:t>
            </w:r>
            <w:r w:rsidR="00595FDE" w:rsidRPr="005D38AE">
              <w:rPr>
                <w:i/>
                <w:iCs/>
                <w:sz w:val="18"/>
                <w:szCs w:val="18"/>
              </w:rPr>
              <w:br/>
            </w:r>
            <w:r w:rsidRPr="005D38AE">
              <w:rPr>
                <w:i/>
                <w:iCs/>
                <w:sz w:val="18"/>
                <w:szCs w:val="18"/>
              </w:rPr>
              <w:t>Zimmerer</w:t>
            </w:r>
            <w:r w:rsidR="00893DFC" w:rsidRPr="005D38AE">
              <w:rPr>
                <w:rStyle w:val="Funotenzeichen"/>
                <w:i/>
                <w:iCs/>
                <w:sz w:val="18"/>
                <w:szCs w:val="18"/>
              </w:rPr>
              <w:footnoteReference w:id="4"/>
            </w:r>
          </w:p>
        </w:tc>
        <w:tc>
          <w:tcPr>
            <w:tcW w:w="689" w:type="dxa"/>
            <w:shd w:val="clear" w:color="auto" w:fill="FFFFFF" w:themeFill="background1"/>
          </w:tcPr>
          <w:p w14:paraId="771939FE" w14:textId="41063FDD" w:rsidR="00DA1347" w:rsidRPr="00906EDA" w:rsidRDefault="003C6B80" w:rsidP="003C6B80">
            <w:pPr>
              <w:spacing w:before="60" w:after="60"/>
              <w:jc w:val="center"/>
            </w:pPr>
            <w:r w:rsidRPr="00906EDA">
              <w:rPr>
                <w:sz w:val="32"/>
                <w:szCs w:val="32"/>
              </w:rPr>
              <w:sym w:font="Wingdings" w:char="F0FB"/>
            </w:r>
          </w:p>
        </w:tc>
        <w:tc>
          <w:tcPr>
            <w:tcW w:w="689" w:type="dxa"/>
            <w:shd w:val="clear" w:color="auto" w:fill="FFFFFF" w:themeFill="background1"/>
          </w:tcPr>
          <w:p w14:paraId="1DD2CADF" w14:textId="27CCE88A" w:rsidR="00DA1347" w:rsidRPr="00906EDA" w:rsidRDefault="003C6B80" w:rsidP="003C6B80">
            <w:pPr>
              <w:spacing w:before="60" w:after="60"/>
              <w:jc w:val="center"/>
              <w:rPr>
                <w:sz w:val="20"/>
              </w:rPr>
            </w:pPr>
            <w:r w:rsidRPr="00906EDA">
              <w:rPr>
                <w:sz w:val="32"/>
                <w:szCs w:val="32"/>
              </w:rPr>
              <w:sym w:font="Wingdings" w:char="F0FB"/>
            </w:r>
          </w:p>
        </w:tc>
        <w:tc>
          <w:tcPr>
            <w:tcW w:w="708" w:type="dxa"/>
            <w:shd w:val="clear" w:color="auto" w:fill="FFFFFF" w:themeFill="background1"/>
          </w:tcPr>
          <w:p w14:paraId="3ABDA1C2" w14:textId="7B01B525" w:rsidR="00DA1347" w:rsidRPr="00906EDA" w:rsidRDefault="003C6B80" w:rsidP="003C6B80">
            <w:pPr>
              <w:spacing w:before="60" w:after="60"/>
              <w:jc w:val="center"/>
              <w:rPr>
                <w:sz w:val="20"/>
              </w:rPr>
            </w:pPr>
            <w:r w:rsidRPr="00906EDA">
              <w:rPr>
                <w:sz w:val="32"/>
                <w:szCs w:val="32"/>
              </w:rPr>
              <w:sym w:font="Wingdings" w:char="F0FB"/>
            </w:r>
          </w:p>
        </w:tc>
        <w:tc>
          <w:tcPr>
            <w:tcW w:w="688" w:type="dxa"/>
            <w:shd w:val="clear" w:color="auto" w:fill="FFFFFF" w:themeFill="background1"/>
          </w:tcPr>
          <w:p w14:paraId="17F353AA" w14:textId="0B8F436E" w:rsidR="00DA1347" w:rsidRPr="00906EDA" w:rsidRDefault="003C6B80" w:rsidP="003C6B80">
            <w:pPr>
              <w:spacing w:before="60" w:after="60"/>
              <w:jc w:val="center"/>
              <w:rPr>
                <w:sz w:val="20"/>
              </w:rPr>
            </w:pPr>
            <w:r w:rsidRPr="00906EDA">
              <w:rPr>
                <w:sz w:val="32"/>
                <w:szCs w:val="32"/>
              </w:rPr>
              <w:sym w:font="Wingdings" w:char="F0FB"/>
            </w:r>
          </w:p>
        </w:tc>
        <w:tc>
          <w:tcPr>
            <w:tcW w:w="688" w:type="dxa"/>
            <w:shd w:val="clear" w:color="auto" w:fill="FFFFFF" w:themeFill="background1"/>
          </w:tcPr>
          <w:p w14:paraId="6CDD5F78" w14:textId="121A9786" w:rsidR="00DA1347" w:rsidRPr="00906EDA" w:rsidRDefault="003C6B80" w:rsidP="003C6B80">
            <w:pPr>
              <w:spacing w:before="60" w:after="60"/>
              <w:jc w:val="center"/>
              <w:rPr>
                <w:sz w:val="20"/>
              </w:rPr>
            </w:pPr>
            <w:r w:rsidRPr="00906EDA">
              <w:rPr>
                <w:sz w:val="32"/>
                <w:szCs w:val="32"/>
              </w:rPr>
              <w:sym w:font="Wingdings" w:char="F0FB"/>
            </w:r>
          </w:p>
        </w:tc>
        <w:tc>
          <w:tcPr>
            <w:tcW w:w="688" w:type="dxa"/>
            <w:shd w:val="clear" w:color="auto" w:fill="FFFFFF" w:themeFill="background1"/>
          </w:tcPr>
          <w:p w14:paraId="03A48013" w14:textId="2133AAE0" w:rsidR="00DA1347" w:rsidRPr="00906EDA" w:rsidRDefault="003C6B80" w:rsidP="003C6B80">
            <w:pPr>
              <w:spacing w:before="60" w:after="60"/>
              <w:jc w:val="center"/>
              <w:rPr>
                <w:sz w:val="20"/>
              </w:rPr>
            </w:pPr>
            <w:r w:rsidRPr="00906EDA">
              <w:rPr>
                <w:sz w:val="32"/>
                <w:szCs w:val="32"/>
              </w:rPr>
              <w:sym w:font="Wingdings" w:char="F0FB"/>
            </w:r>
          </w:p>
        </w:tc>
        <w:tc>
          <w:tcPr>
            <w:tcW w:w="708" w:type="dxa"/>
            <w:shd w:val="clear" w:color="auto" w:fill="FFFFFF" w:themeFill="background1"/>
          </w:tcPr>
          <w:p w14:paraId="58D20795" w14:textId="562F19E2" w:rsidR="00DA1347" w:rsidRPr="00906EDA" w:rsidRDefault="003C6B80" w:rsidP="003C6B80">
            <w:pPr>
              <w:spacing w:before="60" w:after="60"/>
              <w:jc w:val="center"/>
              <w:rPr>
                <w:sz w:val="20"/>
              </w:rPr>
            </w:pPr>
            <w:r w:rsidRPr="00906EDA">
              <w:rPr>
                <w:sz w:val="32"/>
                <w:szCs w:val="32"/>
              </w:rPr>
              <w:sym w:font="Wingdings" w:char="F0FB"/>
            </w:r>
          </w:p>
        </w:tc>
        <w:tc>
          <w:tcPr>
            <w:tcW w:w="688" w:type="dxa"/>
            <w:shd w:val="clear" w:color="auto" w:fill="FFFFFF" w:themeFill="background1"/>
          </w:tcPr>
          <w:p w14:paraId="0C79BF31" w14:textId="6800CA04" w:rsidR="00DA1347" w:rsidRPr="00906EDA" w:rsidRDefault="003C6B80" w:rsidP="003C6B80">
            <w:pPr>
              <w:spacing w:before="60" w:after="60"/>
              <w:jc w:val="center"/>
              <w:rPr>
                <w:sz w:val="20"/>
              </w:rPr>
            </w:pPr>
            <w:r w:rsidRPr="00906EDA">
              <w:rPr>
                <w:sz w:val="32"/>
                <w:szCs w:val="32"/>
              </w:rPr>
              <w:sym w:font="Wingdings" w:char="F0FB"/>
            </w:r>
          </w:p>
        </w:tc>
        <w:tc>
          <w:tcPr>
            <w:tcW w:w="688" w:type="dxa"/>
            <w:shd w:val="clear" w:color="auto" w:fill="FFFFFF" w:themeFill="background1"/>
          </w:tcPr>
          <w:p w14:paraId="35A86908" w14:textId="0152F045" w:rsidR="00DA1347" w:rsidRPr="00906EDA" w:rsidRDefault="003C6B80" w:rsidP="003C6B80">
            <w:pPr>
              <w:spacing w:before="60" w:after="60"/>
              <w:jc w:val="center"/>
              <w:rPr>
                <w:sz w:val="20"/>
              </w:rPr>
            </w:pPr>
            <w:r w:rsidRPr="00906EDA">
              <w:rPr>
                <w:sz w:val="32"/>
                <w:szCs w:val="32"/>
              </w:rPr>
              <w:sym w:font="Wingdings" w:char="F0FB"/>
            </w:r>
          </w:p>
        </w:tc>
        <w:tc>
          <w:tcPr>
            <w:tcW w:w="688" w:type="dxa"/>
            <w:shd w:val="clear" w:color="auto" w:fill="FFFFFF" w:themeFill="background1"/>
          </w:tcPr>
          <w:p w14:paraId="18D23485" w14:textId="77FCC138" w:rsidR="00DA1347" w:rsidRPr="00906EDA" w:rsidRDefault="004B671B" w:rsidP="003C6B80">
            <w:pPr>
              <w:spacing w:before="60" w:after="60"/>
              <w:jc w:val="center"/>
              <w:rPr>
                <w:sz w:val="20"/>
              </w:rPr>
            </w:pPr>
            <w:r w:rsidRPr="00906EDA">
              <w:rPr>
                <w:sz w:val="32"/>
                <w:szCs w:val="32"/>
              </w:rPr>
              <w:sym w:font="Wingdings" w:char="F0FB"/>
            </w:r>
          </w:p>
        </w:tc>
        <w:tc>
          <w:tcPr>
            <w:tcW w:w="495" w:type="dxa"/>
            <w:shd w:val="clear" w:color="auto" w:fill="FFFFFF" w:themeFill="background1"/>
          </w:tcPr>
          <w:p w14:paraId="53359946" w14:textId="65D8415C" w:rsidR="00DA1347" w:rsidRPr="00906EDA" w:rsidRDefault="003C6B80" w:rsidP="003C6B80">
            <w:pPr>
              <w:spacing w:before="60" w:after="60"/>
              <w:jc w:val="center"/>
              <w:rPr>
                <w:sz w:val="20"/>
              </w:rPr>
            </w:pPr>
            <w:r w:rsidRPr="00906EDA">
              <w:rPr>
                <w:sz w:val="32"/>
                <w:szCs w:val="32"/>
              </w:rPr>
              <w:sym w:font="Wingdings" w:char="F0FB"/>
            </w:r>
          </w:p>
        </w:tc>
      </w:tr>
      <w:bookmarkEnd w:id="11"/>
    </w:tbl>
    <w:p w14:paraId="46C1410D" w14:textId="77777777" w:rsidR="008003AD" w:rsidRPr="00906EDA" w:rsidRDefault="008003AD" w:rsidP="00B37DDF">
      <w:pPr>
        <w:spacing w:line="320" w:lineRule="exact"/>
        <w:ind w:right="1700"/>
        <w:jc w:val="both"/>
        <w:rPr>
          <w:vertAlign w:val="superscript"/>
        </w:rPr>
      </w:pPr>
    </w:p>
    <w:p w14:paraId="4E549D47" w14:textId="557DD2A7" w:rsidR="00703E66" w:rsidRPr="00906EDA" w:rsidRDefault="00040A83" w:rsidP="00F119CE">
      <w:pPr>
        <w:spacing w:line="320" w:lineRule="exact"/>
        <w:ind w:right="1700"/>
        <w:jc w:val="both"/>
      </w:pPr>
      <w:r w:rsidRPr="00906EDA">
        <w:t xml:space="preserve">Unabhängig im Sinne des Deutschen Corporate Governance Kodex </w:t>
      </w:r>
      <w:r w:rsidR="00295978" w:rsidRPr="00906EDA">
        <w:t xml:space="preserve">in der aktuellen Fassung vom </w:t>
      </w:r>
      <w:r w:rsidR="00455756" w:rsidRPr="00906EDA">
        <w:t>28</w:t>
      </w:r>
      <w:r w:rsidR="00295978" w:rsidRPr="00906EDA">
        <w:t xml:space="preserve">. </w:t>
      </w:r>
      <w:r w:rsidR="00455756" w:rsidRPr="00906EDA">
        <w:t xml:space="preserve">April 2022 </w:t>
      </w:r>
      <w:r w:rsidRPr="00906EDA">
        <w:t xml:space="preserve">sind nach Auffassung des Aufsichtsrats alle derzeitigen Mitglieder: </w:t>
      </w:r>
      <w:r w:rsidR="002C3AEE" w:rsidRPr="00906EDA">
        <w:t xml:space="preserve">Dr. Hendrik Otto </w:t>
      </w:r>
      <w:r w:rsidRPr="00906EDA">
        <w:t xml:space="preserve">(Vorsitzender), </w:t>
      </w:r>
      <w:r w:rsidR="00F119CE" w:rsidRPr="00906EDA">
        <w:t xml:space="preserve">Prof. Dr. Kai C. Andrejewski, </w:t>
      </w:r>
      <w:r w:rsidR="00AA0C50" w:rsidRPr="00906EDA">
        <w:t>Axel Holtrup</w:t>
      </w:r>
      <w:r w:rsidR="00AA0C50">
        <w:t xml:space="preserve">, </w:t>
      </w:r>
      <w:r w:rsidR="002E5262" w:rsidRPr="00906EDA">
        <w:t>Dr. Kathrin Köhling</w:t>
      </w:r>
      <w:r w:rsidRPr="00906EDA">
        <w:t xml:space="preserve"> </w:t>
      </w:r>
      <w:r w:rsidR="00AA0C50">
        <w:t xml:space="preserve">und </w:t>
      </w:r>
      <w:r w:rsidR="00AA0C50" w:rsidRPr="00906EDA">
        <w:t>Dr. Jörg Wulfken</w:t>
      </w:r>
      <w:r w:rsidR="00E33FDC" w:rsidRPr="00906EDA">
        <w:t xml:space="preserve">. </w:t>
      </w:r>
      <w:r w:rsidR="00BF315C" w:rsidRPr="00906EDA">
        <w:t>Der Aufsichtsrat sieht Herrn Dr. Hendrik Otto als unabhängig an</w:t>
      </w:r>
      <w:r w:rsidR="00F23119" w:rsidRPr="00906EDA">
        <w:t>:</w:t>
      </w:r>
      <w:r w:rsidR="00BF315C" w:rsidRPr="00906EDA">
        <w:t xml:space="preserve"> </w:t>
      </w:r>
      <w:r w:rsidR="00703E66" w:rsidRPr="00906EDA">
        <w:t>Herr Dr. Otto hat eine ausreichende Distanz und ein unbeeinflusstes Urteilsvermögen gegenüber dem Vorstand, auch wenn e</w:t>
      </w:r>
      <w:r w:rsidR="00BF315C" w:rsidRPr="00906EDA">
        <w:t>r dem Aufsichtsrat</w:t>
      </w:r>
      <w:r w:rsidR="00703E66" w:rsidRPr="00906EDA">
        <w:t xml:space="preserve"> bereits</w:t>
      </w:r>
      <w:r w:rsidR="00BF315C" w:rsidRPr="00906EDA">
        <w:t xml:space="preserve"> seit mehr als </w:t>
      </w:r>
      <w:r w:rsidR="00AA0C50">
        <w:t>12</w:t>
      </w:r>
      <w:r w:rsidR="00AA0C50" w:rsidRPr="00906EDA">
        <w:t xml:space="preserve"> </w:t>
      </w:r>
      <w:r w:rsidR="00BF315C" w:rsidRPr="00906EDA">
        <w:t>Jahren angehört</w:t>
      </w:r>
      <w:r w:rsidR="00703E66" w:rsidRPr="00906EDA">
        <w:t>.</w:t>
      </w:r>
      <w:r w:rsidR="004B671B" w:rsidRPr="00906EDA">
        <w:t xml:space="preserve"> </w:t>
      </w:r>
      <w:r w:rsidRPr="00906EDA">
        <w:lastRenderedPageBreak/>
        <w:t xml:space="preserve">Sollten </w:t>
      </w:r>
      <w:r w:rsidR="00703E66" w:rsidRPr="00906EDA">
        <w:t xml:space="preserve">bei einem Aufsichtsratsmitglied </w:t>
      </w:r>
      <w:r w:rsidRPr="00906EDA">
        <w:t>wider Erwarten Interessenkonflikte im Einzelfall auftreten, werden diese offengelegt und im Aufsichtsrat behandelt.</w:t>
      </w:r>
    </w:p>
    <w:p w14:paraId="0C1D94CF" w14:textId="77777777" w:rsidR="00703E66" w:rsidRPr="00906EDA" w:rsidRDefault="00703E66" w:rsidP="00F119CE">
      <w:pPr>
        <w:spacing w:line="320" w:lineRule="exact"/>
        <w:ind w:right="1700"/>
        <w:jc w:val="both"/>
      </w:pPr>
    </w:p>
    <w:p w14:paraId="599810A7" w14:textId="1F2290E6" w:rsidR="0075490F" w:rsidRPr="00906EDA" w:rsidRDefault="00040A83" w:rsidP="00F119CE">
      <w:pPr>
        <w:spacing w:line="320" w:lineRule="exact"/>
        <w:ind w:right="1700"/>
        <w:jc w:val="both"/>
      </w:pPr>
      <w:r w:rsidRPr="00906EDA">
        <w:t>Die Mitglieder des Aufsichtsrats repräsentieren eine große Vielfalt beruflicher und persönlicher Erfahrungen. Die Mitglieder des Aufsichtsrats füllen das Kompetenzprofil aus und sind in ihrer Gesamtheit mit dem Sektor, in dem die DBAG tätig ist, vertraut.</w:t>
      </w:r>
    </w:p>
    <w:p w14:paraId="39C3B29B" w14:textId="77777777" w:rsidR="0075490F" w:rsidRPr="00906EDA" w:rsidRDefault="0075490F" w:rsidP="00B37DDF">
      <w:pPr>
        <w:spacing w:line="320" w:lineRule="exact"/>
        <w:ind w:right="1700"/>
        <w:jc w:val="both"/>
      </w:pPr>
    </w:p>
    <w:p w14:paraId="26C1B56F" w14:textId="5707343F" w:rsidR="004C7D7E" w:rsidRPr="00906EDA" w:rsidRDefault="00040A83" w:rsidP="00B37DDF">
      <w:pPr>
        <w:spacing w:line="320" w:lineRule="exact"/>
        <w:ind w:right="1700"/>
        <w:jc w:val="both"/>
      </w:pPr>
      <w:r w:rsidRPr="00906EDA">
        <w:t xml:space="preserve">Für die Mitglieder des Aufsichtsrats ist in der Geschäftsordnung </w:t>
      </w:r>
      <w:r w:rsidR="003E3421" w:rsidRPr="00906EDA">
        <w:t>des</w:t>
      </w:r>
      <w:r w:rsidRPr="00906EDA">
        <w:t xml:space="preserve"> Aufsichtsrat</w:t>
      </w:r>
      <w:r w:rsidR="003E3421" w:rsidRPr="00906EDA">
        <w:t>s</w:t>
      </w:r>
      <w:r w:rsidRPr="00906EDA">
        <w:t xml:space="preserve"> festgelegt, dass </w:t>
      </w:r>
      <w:r w:rsidR="003E3421" w:rsidRPr="00906EDA">
        <w:t>sie</w:t>
      </w:r>
      <w:r w:rsidRPr="00906EDA">
        <w:t xml:space="preserve"> wegen Erreichens der Altersgrenze mit der Hauptversammlung aus ihrem Amt ausscheiden, die auf die Vollendung ihres 72. Lebensjahres folgt. </w:t>
      </w:r>
      <w:r w:rsidR="0075490F" w:rsidRPr="00906EDA">
        <w:t xml:space="preserve">Die Altersgrenze erlaubt es einerseits, </w:t>
      </w:r>
      <w:r w:rsidR="003E3421" w:rsidRPr="00906EDA">
        <w:t>die</w:t>
      </w:r>
      <w:r w:rsidR="0075490F" w:rsidRPr="00906EDA">
        <w:t xml:space="preserve"> Kenntnisse</w:t>
      </w:r>
      <w:r w:rsidR="003E3421" w:rsidRPr="00906EDA">
        <w:t xml:space="preserve"> der Mitglieder</w:t>
      </w:r>
      <w:r w:rsidR="0075490F" w:rsidRPr="00906EDA">
        <w:t xml:space="preserve"> möglichst lange zu nutzen; sie unterstützt andererseits den gewünschten Wandel in der Zusammensetzung des Aufsichtsrats. </w:t>
      </w:r>
      <w:r w:rsidR="00F21E9A" w:rsidRPr="00906EDA">
        <w:t>D</w:t>
      </w:r>
      <w:r w:rsidR="0075490F" w:rsidRPr="00906EDA">
        <w:t xml:space="preserve">em dient auch die Regelgrenze für die Zugehörigkeitsdauer zum Aufsichtsrat von </w:t>
      </w:r>
      <w:r w:rsidR="005A2714">
        <w:t>3</w:t>
      </w:r>
      <w:r w:rsidR="005A2714" w:rsidRPr="00906EDA">
        <w:t xml:space="preserve"> </w:t>
      </w:r>
      <w:r w:rsidR="0075490F" w:rsidRPr="00906EDA">
        <w:t>vollen Amtszeiten</w:t>
      </w:r>
      <w:r w:rsidR="00F21E9A" w:rsidRPr="00906EDA">
        <w:t>.</w:t>
      </w:r>
    </w:p>
    <w:p w14:paraId="432CAFFE" w14:textId="404B5EAB" w:rsidR="0075490F" w:rsidRPr="00906EDA" w:rsidRDefault="0075490F" w:rsidP="00B37DDF">
      <w:pPr>
        <w:spacing w:line="320" w:lineRule="exact"/>
        <w:ind w:right="1700"/>
        <w:jc w:val="both"/>
      </w:pPr>
    </w:p>
    <w:p w14:paraId="24687865" w14:textId="3A71B776" w:rsidR="0075490F" w:rsidRPr="00906EDA" w:rsidRDefault="00040A83" w:rsidP="00BA7E5A">
      <w:pPr>
        <w:pStyle w:val="berschrift2"/>
      </w:pPr>
      <w:r w:rsidRPr="00906EDA">
        <w:t>Keine Interessenkonflikte</w:t>
      </w:r>
    </w:p>
    <w:p w14:paraId="46CFA402" w14:textId="55DF857C" w:rsidR="00416398" w:rsidRPr="00906EDA" w:rsidRDefault="00040A83" w:rsidP="00B37DDF">
      <w:pPr>
        <w:spacing w:line="320" w:lineRule="exact"/>
        <w:ind w:right="1700"/>
        <w:jc w:val="both"/>
      </w:pPr>
      <w:r w:rsidRPr="00906EDA">
        <w:t>Interessenkonflikte von Vorstands- und Aufsichtsratsmitgliedern, die dem Aufsichtsrat gegenüber unverzüglich offenzulegen sind, sind uns im Berichtsjahr nicht bekannt geworden.</w:t>
      </w:r>
    </w:p>
    <w:p w14:paraId="20076B1C" w14:textId="57A4E1DE" w:rsidR="000C141B" w:rsidRPr="00906EDA" w:rsidRDefault="000C141B" w:rsidP="00B37DDF">
      <w:pPr>
        <w:spacing w:line="320" w:lineRule="exact"/>
        <w:ind w:right="1700"/>
        <w:jc w:val="both"/>
      </w:pPr>
    </w:p>
    <w:p w14:paraId="54619BB0" w14:textId="77777777" w:rsidR="00AE6020" w:rsidRPr="00906EDA" w:rsidRDefault="00040A83" w:rsidP="00BA7E5A">
      <w:pPr>
        <w:pStyle w:val="berschrift2"/>
      </w:pPr>
      <w:r w:rsidRPr="00906EDA">
        <w:t>Aktienbesitz: Klar geregelt</w:t>
      </w:r>
    </w:p>
    <w:p w14:paraId="3F9EA1CE" w14:textId="2E35AECD" w:rsidR="00AE6020" w:rsidRPr="00906EDA" w:rsidRDefault="00040A83" w:rsidP="00B37DDF">
      <w:pPr>
        <w:spacing w:line="320" w:lineRule="exact"/>
        <w:ind w:right="1700"/>
        <w:jc w:val="both"/>
      </w:pPr>
      <w:r w:rsidRPr="00906EDA">
        <w:t>Die Mitarbeiterinnen und Mitarbeiter sowie die Organmitglieder dürfen, neben dem jährlichen Angebot von Mitarbeiteraktien, DBAG-Aktien nur eingeschränkt erwerben. Kauf und Verkauf sind nur in bestimmten Zeiträumen und ausschließlich nach Genehmigung jeder einzelnen Transaktion möglich. Handelsperioden beginnen am Tag nach der Veröffentlichung von (ggf</w:t>
      </w:r>
      <w:r w:rsidR="005A2714">
        <w:t>.</w:t>
      </w:r>
      <w:r w:rsidRPr="00906EDA">
        <w:t xml:space="preserve"> auch vorläufigen) Quartals- oder Jahresabschlusszahlen und enden</w:t>
      </w:r>
      <w:r w:rsidR="0033239C" w:rsidRPr="00906EDA">
        <w:t xml:space="preserve"> spätestens</w:t>
      </w:r>
      <w:r w:rsidRPr="00906EDA">
        <w:t xml:space="preserve"> am darauffolgenden Quartalsstichtag. Sofern sich diese Handelsperioden mit den rechtlich vorgegebenen Handelsverboten für Personen mit Führungsaufgaben („Directors</w:t>
      </w:r>
      <w:r w:rsidR="005A2714">
        <w:t>’</w:t>
      </w:r>
      <w:r w:rsidRPr="00906EDA">
        <w:t xml:space="preserve"> Dealings“) überschneiden, wird die Handelsperiode auch für DBAG-Mitarbeiter entsprechend verkürzt.</w:t>
      </w:r>
    </w:p>
    <w:p w14:paraId="43B220C5" w14:textId="77777777" w:rsidR="00AE6020" w:rsidRPr="00906EDA" w:rsidRDefault="00AE6020" w:rsidP="00B37DDF">
      <w:pPr>
        <w:spacing w:line="320" w:lineRule="exact"/>
        <w:ind w:right="1700"/>
        <w:jc w:val="both"/>
      </w:pPr>
    </w:p>
    <w:p w14:paraId="23A0039A" w14:textId="28854243" w:rsidR="00AE6020" w:rsidRPr="00906EDA" w:rsidRDefault="00040A83" w:rsidP="00B37DDF">
      <w:pPr>
        <w:spacing w:line="320" w:lineRule="exact"/>
        <w:ind w:right="1700"/>
        <w:jc w:val="both"/>
      </w:pPr>
      <w:r w:rsidRPr="00906EDA">
        <w:t>Aufgrund unserer Geschäftstätigkeit gibt es weitere Regeln für den Aktienhandel der Mitarbeiterinnen und Mitarbeiter. So ist ihnen unabhängig von der Beschränkung des Handels in DBAG-Aktien</w:t>
      </w:r>
      <w:r w:rsidR="00D47757" w:rsidRPr="00906EDA">
        <w:t xml:space="preserve"> </w:t>
      </w:r>
      <w:r w:rsidRPr="00906EDA">
        <w:t xml:space="preserve">der Handel in Aktien jener </w:t>
      </w:r>
      <w:r w:rsidR="00C55F09" w:rsidRPr="00906EDA">
        <w:t xml:space="preserve">Gesellschaften </w:t>
      </w:r>
      <w:r w:rsidRPr="00906EDA">
        <w:t xml:space="preserve">verboten, an denen die </w:t>
      </w:r>
      <w:r w:rsidR="00C55F09" w:rsidRPr="00906EDA">
        <w:t xml:space="preserve">DBAG oder die </w:t>
      </w:r>
      <w:r w:rsidRPr="00906EDA">
        <w:t>von der DBAG beratenen Fonds beteiligt sind, eine Beteiligung prüfen oder aus deren Portfolio einen Unternehmenserwerb erwägen.</w:t>
      </w:r>
    </w:p>
    <w:p w14:paraId="1B4BCD66" w14:textId="4613795A" w:rsidR="003F04A7" w:rsidRPr="00906EDA" w:rsidRDefault="003F04A7" w:rsidP="00B37DDF">
      <w:pPr>
        <w:spacing w:line="320" w:lineRule="exact"/>
        <w:ind w:right="1700"/>
        <w:jc w:val="both"/>
      </w:pPr>
    </w:p>
    <w:p w14:paraId="24030769" w14:textId="5C7FC144" w:rsidR="00AE6020" w:rsidRPr="00906EDA" w:rsidRDefault="00040A83" w:rsidP="00D4369F">
      <w:pPr>
        <w:pStyle w:val="berschrift2"/>
        <w:keepNext/>
        <w:ind w:right="1701"/>
      </w:pPr>
      <w:r w:rsidRPr="00906EDA">
        <w:t>Meldepflichtige Wertpapiergeschäfte („Directors</w:t>
      </w:r>
      <w:r w:rsidR="005A2714">
        <w:t>’</w:t>
      </w:r>
      <w:r w:rsidRPr="00906EDA">
        <w:t xml:space="preserve"> Dealings“)</w:t>
      </w:r>
    </w:p>
    <w:p w14:paraId="41A383C0" w14:textId="2C2642E4" w:rsidR="00703E66" w:rsidRDefault="00040A83" w:rsidP="00D4369F">
      <w:pPr>
        <w:keepNext/>
        <w:spacing w:line="320" w:lineRule="exact"/>
        <w:ind w:right="1700"/>
        <w:jc w:val="both"/>
      </w:pPr>
      <w:r w:rsidRPr="00906EDA">
        <w:t xml:space="preserve">Die Mitglieder des Vorstands und des Aufsichtsrats der DBAG sowie ihnen nahestehende Personen sind gemäß Art. 19 der Marktmissbrauchsverordnung verpflichtet, Eigengeschäfte in DBAG-Aktien, Schuldtiteln und damit verbundenen </w:t>
      </w:r>
      <w:r w:rsidRPr="00906EDA">
        <w:lastRenderedPageBreak/>
        <w:t xml:space="preserve">Derivaten oder anderen Finanzinstrumenten mitzuteilen. </w:t>
      </w:r>
      <w:r w:rsidR="00BD590A" w:rsidRPr="00906EDA">
        <w:t xml:space="preserve">Die im Berichtsjahr getätigten </w:t>
      </w:r>
      <w:r w:rsidR="00073F1D" w:rsidRPr="00906EDA">
        <w:t>Directors</w:t>
      </w:r>
      <w:r w:rsidR="005A2714">
        <w:t>’</w:t>
      </w:r>
      <w:r w:rsidR="00073F1D" w:rsidRPr="00906EDA">
        <w:t xml:space="preserve"> Dealings</w:t>
      </w:r>
      <w:r w:rsidR="00BD590A" w:rsidRPr="00906EDA">
        <w:t xml:space="preserve"> sind </w:t>
      </w:r>
      <w:r w:rsidR="00EB24FB" w:rsidRPr="00906EDA">
        <w:t xml:space="preserve">unter </w:t>
      </w:r>
      <w:r w:rsidR="00893DFC" w:rsidRPr="00906EDA">
        <w:t>https://www.dbag.de/shareholder-relations/</w:t>
      </w:r>
      <w:r w:rsidR="00703E66" w:rsidRPr="00906EDA">
        <w:t xml:space="preserve">corporate-governance/eigengeschaefte-von-fuehrungskraeften </w:t>
      </w:r>
      <w:r w:rsidR="00BD590A" w:rsidRPr="00906EDA">
        <w:t>veröffentlicht.</w:t>
      </w:r>
    </w:p>
    <w:p w14:paraId="301D395D" w14:textId="77777777" w:rsidR="004B671B" w:rsidRDefault="004B671B" w:rsidP="00D4369F">
      <w:pPr>
        <w:keepNext/>
        <w:spacing w:line="320" w:lineRule="exact"/>
        <w:ind w:right="1700"/>
        <w:jc w:val="both"/>
      </w:pPr>
    </w:p>
    <w:p w14:paraId="4D6F20CC" w14:textId="77777777" w:rsidR="004B671B" w:rsidRDefault="004B671B" w:rsidP="00D4369F">
      <w:pPr>
        <w:keepNext/>
        <w:spacing w:line="320" w:lineRule="exact"/>
        <w:ind w:right="1700"/>
        <w:jc w:val="both"/>
      </w:pPr>
    </w:p>
    <w:sectPr w:rsidR="004B671B">
      <w:pgSz w:w="11907" w:h="16840" w:code="9"/>
      <w:pgMar w:top="1535" w:right="1418" w:bottom="1134" w:left="1134" w:header="85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D0F1D" w14:textId="77777777" w:rsidR="00511987" w:rsidRDefault="00511987">
      <w:pPr>
        <w:spacing w:line="240" w:lineRule="auto"/>
      </w:pPr>
      <w:r>
        <w:separator/>
      </w:r>
    </w:p>
  </w:endnote>
  <w:endnote w:type="continuationSeparator" w:id="0">
    <w:p w14:paraId="192FA327" w14:textId="77777777" w:rsidR="00511987" w:rsidRDefault="00511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20B0403030504020204"/>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C5DE" w14:textId="77777777" w:rsidR="00040A83" w:rsidRDefault="00040A83">
    <w:pPr>
      <w:pStyle w:val="Fuzeile"/>
      <w:jc w:val="right"/>
    </w:pPr>
    <w:r>
      <w:rPr>
        <w:rStyle w:val="Seitenzahl"/>
      </w:rPr>
      <w:fldChar w:fldCharType="begin"/>
    </w:r>
    <w:r>
      <w:rPr>
        <w:rStyle w:val="Seitenzahl"/>
      </w:rPr>
      <w:instrText xml:space="preserve"> PAGE </w:instrText>
    </w:r>
    <w:r>
      <w:rPr>
        <w:rStyle w:val="Seitenzahl"/>
      </w:rPr>
      <w:fldChar w:fldCharType="separate"/>
    </w:r>
    <w:r>
      <w:rPr>
        <w:rStyle w:val="Seitenzahl"/>
        <w:noProof/>
      </w:rPr>
      <w:t>9</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Pr>
        <w:rStyle w:val="Seitenzahl"/>
        <w:noProof/>
      </w:rPr>
      <w:t>9</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632C6" w14:textId="06BB4126" w:rsidR="00040A83" w:rsidRDefault="00040A83" w:rsidP="003D1970">
    <w:pPr>
      <w:pStyle w:val="Fuzeile"/>
      <w:jc w:val="right"/>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Pr>
        <w:rStyle w:val="Seitenzahl"/>
        <w:noProof/>
      </w:rPr>
      <w:t>9</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AD82D" w14:textId="77777777" w:rsidR="00511987" w:rsidRDefault="00511987">
      <w:pPr>
        <w:spacing w:line="240" w:lineRule="auto"/>
      </w:pPr>
      <w:r>
        <w:separator/>
      </w:r>
    </w:p>
  </w:footnote>
  <w:footnote w:type="continuationSeparator" w:id="0">
    <w:p w14:paraId="237078D1" w14:textId="77777777" w:rsidR="00511987" w:rsidRDefault="00511987">
      <w:pPr>
        <w:spacing w:line="240" w:lineRule="auto"/>
      </w:pPr>
      <w:r>
        <w:continuationSeparator/>
      </w:r>
    </w:p>
  </w:footnote>
  <w:footnote w:id="1">
    <w:p w14:paraId="3031DDCC" w14:textId="3C39171C" w:rsidR="00645E94" w:rsidRDefault="00645E94" w:rsidP="00645E94">
      <w:pPr>
        <w:pStyle w:val="Funotentext"/>
      </w:pPr>
      <w:r w:rsidRPr="00383995">
        <w:rPr>
          <w:rStyle w:val="Funotenzeichen"/>
          <w:vertAlign w:val="baseline"/>
        </w:rPr>
        <w:footnoteRef/>
      </w:r>
      <w:r>
        <w:t xml:space="preserve"> Frau Wiese ist zum 31. Dezember 2025 aus dem Vorstand ausgeschieden.</w:t>
      </w:r>
    </w:p>
  </w:footnote>
  <w:footnote w:id="2">
    <w:p w14:paraId="15CAB68C" w14:textId="31D07A5C" w:rsidR="00040A83" w:rsidRDefault="00040A83" w:rsidP="003D1970">
      <w:pPr>
        <w:pStyle w:val="Funotentext"/>
      </w:pPr>
      <w:r w:rsidRPr="00383995">
        <w:rPr>
          <w:rStyle w:val="Funotenzeichen"/>
          <w:vertAlign w:val="baseline"/>
        </w:rPr>
        <w:footnoteRef/>
      </w:r>
      <w:r w:rsidRPr="001E4371">
        <w:t xml:space="preserve"> </w:t>
      </w:r>
      <w:r>
        <w:t>Die Amtsperiode endet grundsätzlich mit Ablauf der (jeweiligen) ordentlichen Hauptversammlung.</w:t>
      </w:r>
    </w:p>
  </w:footnote>
  <w:footnote w:id="3">
    <w:p w14:paraId="3DACD804" w14:textId="03B497D4" w:rsidR="00893DFC" w:rsidRDefault="00893DFC">
      <w:pPr>
        <w:pStyle w:val="Funotentext"/>
      </w:pPr>
      <w:r w:rsidRPr="00383995">
        <w:rPr>
          <w:rStyle w:val="Funotenzeichen"/>
          <w:vertAlign w:val="baseline"/>
        </w:rPr>
        <w:footnoteRef/>
      </w:r>
      <w:r>
        <w:t xml:space="preserve"> Herr Dr. Zimmerer </w:t>
      </w:r>
      <w:r w:rsidR="005D38AE">
        <w:t>ist zum 31. Dezember 2025 aus dem Aufsichtsrat ausgeschieden</w:t>
      </w:r>
      <w:r>
        <w:t>.</w:t>
      </w:r>
    </w:p>
  </w:footnote>
  <w:footnote w:id="4">
    <w:p w14:paraId="1A4C1EF8" w14:textId="4BAD1C79" w:rsidR="00893DFC" w:rsidRDefault="00893DFC">
      <w:pPr>
        <w:pStyle w:val="Funotentext"/>
      </w:pPr>
      <w:r w:rsidRPr="00383995">
        <w:rPr>
          <w:rStyle w:val="Funotenzeichen"/>
          <w:vertAlign w:val="baseline"/>
        </w:rPr>
        <w:footnoteRef/>
      </w:r>
      <w:r>
        <w:t xml:space="preserve"> </w:t>
      </w:r>
      <w:r w:rsidR="005D38AE">
        <w:t>Herr Dr. Zimmerer ist zum 31. Dezember 2025 aus dem Aufsichtsrat ausgeschieden</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A757"/>
    <w:multiLevelType w:val="singleLevel"/>
    <w:tmpl w:val="4C0772B8"/>
    <w:lvl w:ilvl="0">
      <w:numFmt w:val="bullet"/>
      <w:lvlText w:val="·"/>
      <w:lvlJc w:val="left"/>
      <w:pPr>
        <w:tabs>
          <w:tab w:val="num" w:pos="1440"/>
        </w:tabs>
        <w:ind w:left="1080"/>
      </w:pPr>
      <w:rPr>
        <w:rFonts w:ascii="Symbol" w:hAnsi="Symbol"/>
        <w:snapToGrid/>
        <w:spacing w:val="-3"/>
        <w:sz w:val="24"/>
      </w:rPr>
    </w:lvl>
  </w:abstractNum>
  <w:abstractNum w:abstractNumId="1" w15:restartNumberingAfterBreak="0">
    <w:nsid w:val="0D622604"/>
    <w:multiLevelType w:val="multilevel"/>
    <w:tmpl w:val="2342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E3926"/>
    <w:multiLevelType w:val="hybridMultilevel"/>
    <w:tmpl w:val="60E0101C"/>
    <w:lvl w:ilvl="0" w:tplc="F07C6FC4">
      <w:start w:val="1"/>
      <w:numFmt w:val="bullet"/>
      <w:lvlText w:val=""/>
      <w:lvlJc w:val="left"/>
      <w:pPr>
        <w:tabs>
          <w:tab w:val="num" w:pos="720"/>
        </w:tabs>
        <w:ind w:left="720" w:hanging="360"/>
      </w:pPr>
      <w:rPr>
        <w:rFonts w:ascii="Symbol" w:hAnsi="Symbol" w:hint="default"/>
      </w:rPr>
    </w:lvl>
    <w:lvl w:ilvl="1" w:tplc="317267F8">
      <w:start w:val="1"/>
      <w:numFmt w:val="bullet"/>
      <w:lvlText w:val="o"/>
      <w:lvlJc w:val="left"/>
      <w:pPr>
        <w:tabs>
          <w:tab w:val="num" w:pos="1440"/>
        </w:tabs>
        <w:ind w:left="1440" w:hanging="360"/>
      </w:pPr>
      <w:rPr>
        <w:rFonts w:ascii="Courier New" w:hAnsi="Courier New" w:hint="default"/>
      </w:rPr>
    </w:lvl>
    <w:lvl w:ilvl="2" w:tplc="F5F2E6B2">
      <w:start w:val="1"/>
      <w:numFmt w:val="bullet"/>
      <w:lvlText w:val=""/>
      <w:lvlJc w:val="left"/>
      <w:pPr>
        <w:tabs>
          <w:tab w:val="num" w:pos="2160"/>
        </w:tabs>
        <w:ind w:left="2160" w:hanging="360"/>
      </w:pPr>
      <w:rPr>
        <w:rFonts w:ascii="Wingdings" w:hAnsi="Wingdings" w:hint="default"/>
      </w:rPr>
    </w:lvl>
    <w:lvl w:ilvl="3" w:tplc="FA669DBC">
      <w:start w:val="1"/>
      <w:numFmt w:val="bullet"/>
      <w:lvlText w:val=""/>
      <w:lvlJc w:val="left"/>
      <w:pPr>
        <w:tabs>
          <w:tab w:val="num" w:pos="2880"/>
        </w:tabs>
        <w:ind w:left="2880" w:hanging="360"/>
      </w:pPr>
      <w:rPr>
        <w:rFonts w:ascii="Symbol" w:hAnsi="Symbol" w:hint="default"/>
      </w:rPr>
    </w:lvl>
    <w:lvl w:ilvl="4" w:tplc="BA7CB3AC">
      <w:start w:val="1"/>
      <w:numFmt w:val="bullet"/>
      <w:lvlText w:val="o"/>
      <w:lvlJc w:val="left"/>
      <w:pPr>
        <w:tabs>
          <w:tab w:val="num" w:pos="3600"/>
        </w:tabs>
        <w:ind w:left="3600" w:hanging="360"/>
      </w:pPr>
      <w:rPr>
        <w:rFonts w:ascii="Courier New" w:hAnsi="Courier New" w:hint="default"/>
      </w:rPr>
    </w:lvl>
    <w:lvl w:ilvl="5" w:tplc="7032CF64">
      <w:start w:val="1"/>
      <w:numFmt w:val="bullet"/>
      <w:lvlText w:val=""/>
      <w:lvlJc w:val="left"/>
      <w:pPr>
        <w:tabs>
          <w:tab w:val="num" w:pos="4320"/>
        </w:tabs>
        <w:ind w:left="4320" w:hanging="360"/>
      </w:pPr>
      <w:rPr>
        <w:rFonts w:ascii="Wingdings" w:hAnsi="Wingdings" w:hint="default"/>
      </w:rPr>
    </w:lvl>
    <w:lvl w:ilvl="6" w:tplc="BEE270B8">
      <w:start w:val="1"/>
      <w:numFmt w:val="bullet"/>
      <w:lvlText w:val=""/>
      <w:lvlJc w:val="left"/>
      <w:pPr>
        <w:tabs>
          <w:tab w:val="num" w:pos="5040"/>
        </w:tabs>
        <w:ind w:left="5040" w:hanging="360"/>
      </w:pPr>
      <w:rPr>
        <w:rFonts w:ascii="Symbol" w:hAnsi="Symbol" w:hint="default"/>
      </w:rPr>
    </w:lvl>
    <w:lvl w:ilvl="7" w:tplc="A0DA5AE6">
      <w:start w:val="1"/>
      <w:numFmt w:val="bullet"/>
      <w:lvlText w:val="o"/>
      <w:lvlJc w:val="left"/>
      <w:pPr>
        <w:tabs>
          <w:tab w:val="num" w:pos="5760"/>
        </w:tabs>
        <w:ind w:left="5760" w:hanging="360"/>
      </w:pPr>
      <w:rPr>
        <w:rFonts w:ascii="Courier New" w:hAnsi="Courier New" w:hint="default"/>
      </w:rPr>
    </w:lvl>
    <w:lvl w:ilvl="8" w:tplc="832E1196">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A44DF"/>
    <w:multiLevelType w:val="hybridMultilevel"/>
    <w:tmpl w:val="DB14204E"/>
    <w:lvl w:ilvl="0" w:tplc="B6402B5A">
      <w:start w:val="1"/>
      <w:numFmt w:val="decimal"/>
      <w:lvlText w:val="%1."/>
      <w:lvlJc w:val="left"/>
      <w:pPr>
        <w:ind w:left="720" w:hanging="360"/>
      </w:pPr>
      <w:rPr>
        <w:rFonts w:cs="Times New Roman"/>
      </w:rPr>
    </w:lvl>
    <w:lvl w:ilvl="1" w:tplc="606C9648" w:tentative="1">
      <w:start w:val="1"/>
      <w:numFmt w:val="lowerLetter"/>
      <w:lvlText w:val="%2."/>
      <w:lvlJc w:val="left"/>
      <w:pPr>
        <w:ind w:left="1440" w:hanging="360"/>
      </w:pPr>
      <w:rPr>
        <w:rFonts w:cs="Times New Roman"/>
      </w:rPr>
    </w:lvl>
    <w:lvl w:ilvl="2" w:tplc="C95458C2" w:tentative="1">
      <w:start w:val="1"/>
      <w:numFmt w:val="lowerRoman"/>
      <w:lvlText w:val="%3."/>
      <w:lvlJc w:val="right"/>
      <w:pPr>
        <w:ind w:left="2160" w:hanging="180"/>
      </w:pPr>
      <w:rPr>
        <w:rFonts w:cs="Times New Roman"/>
      </w:rPr>
    </w:lvl>
    <w:lvl w:ilvl="3" w:tplc="65B09E30" w:tentative="1">
      <w:start w:val="1"/>
      <w:numFmt w:val="decimal"/>
      <w:lvlText w:val="%4."/>
      <w:lvlJc w:val="left"/>
      <w:pPr>
        <w:ind w:left="2880" w:hanging="360"/>
      </w:pPr>
      <w:rPr>
        <w:rFonts w:cs="Times New Roman"/>
      </w:rPr>
    </w:lvl>
    <w:lvl w:ilvl="4" w:tplc="1478BBD8" w:tentative="1">
      <w:start w:val="1"/>
      <w:numFmt w:val="lowerLetter"/>
      <w:lvlText w:val="%5."/>
      <w:lvlJc w:val="left"/>
      <w:pPr>
        <w:ind w:left="3600" w:hanging="360"/>
      </w:pPr>
      <w:rPr>
        <w:rFonts w:cs="Times New Roman"/>
      </w:rPr>
    </w:lvl>
    <w:lvl w:ilvl="5" w:tplc="E16A1BCA" w:tentative="1">
      <w:start w:val="1"/>
      <w:numFmt w:val="lowerRoman"/>
      <w:lvlText w:val="%6."/>
      <w:lvlJc w:val="right"/>
      <w:pPr>
        <w:ind w:left="4320" w:hanging="180"/>
      </w:pPr>
      <w:rPr>
        <w:rFonts w:cs="Times New Roman"/>
      </w:rPr>
    </w:lvl>
    <w:lvl w:ilvl="6" w:tplc="7AB02474" w:tentative="1">
      <w:start w:val="1"/>
      <w:numFmt w:val="decimal"/>
      <w:lvlText w:val="%7."/>
      <w:lvlJc w:val="left"/>
      <w:pPr>
        <w:ind w:left="5040" w:hanging="360"/>
      </w:pPr>
      <w:rPr>
        <w:rFonts w:cs="Times New Roman"/>
      </w:rPr>
    </w:lvl>
    <w:lvl w:ilvl="7" w:tplc="EE6A0B76" w:tentative="1">
      <w:start w:val="1"/>
      <w:numFmt w:val="lowerLetter"/>
      <w:lvlText w:val="%8."/>
      <w:lvlJc w:val="left"/>
      <w:pPr>
        <w:ind w:left="5760" w:hanging="360"/>
      </w:pPr>
      <w:rPr>
        <w:rFonts w:cs="Times New Roman"/>
      </w:rPr>
    </w:lvl>
    <w:lvl w:ilvl="8" w:tplc="00A87358" w:tentative="1">
      <w:start w:val="1"/>
      <w:numFmt w:val="lowerRoman"/>
      <w:lvlText w:val="%9."/>
      <w:lvlJc w:val="right"/>
      <w:pPr>
        <w:ind w:left="6480" w:hanging="180"/>
      </w:pPr>
      <w:rPr>
        <w:rFonts w:cs="Times New Roman"/>
      </w:rPr>
    </w:lvl>
  </w:abstractNum>
  <w:abstractNum w:abstractNumId="4" w15:restartNumberingAfterBreak="0">
    <w:nsid w:val="180F21D8"/>
    <w:multiLevelType w:val="multilevel"/>
    <w:tmpl w:val="2386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56ECB"/>
    <w:multiLevelType w:val="hybridMultilevel"/>
    <w:tmpl w:val="73C48CAE"/>
    <w:lvl w:ilvl="0" w:tplc="943678F2">
      <w:start w:val="1"/>
      <w:numFmt w:val="bullet"/>
      <w:lvlText w:val=""/>
      <w:lvlJc w:val="left"/>
      <w:pPr>
        <w:ind w:left="720" w:hanging="360"/>
      </w:pPr>
      <w:rPr>
        <w:rFonts w:ascii="Symbol" w:hAnsi="Symbol" w:hint="default"/>
      </w:rPr>
    </w:lvl>
    <w:lvl w:ilvl="1" w:tplc="77685DA2" w:tentative="1">
      <w:start w:val="1"/>
      <w:numFmt w:val="bullet"/>
      <w:lvlText w:val="o"/>
      <w:lvlJc w:val="left"/>
      <w:pPr>
        <w:ind w:left="1440" w:hanging="360"/>
      </w:pPr>
      <w:rPr>
        <w:rFonts w:ascii="Courier New" w:hAnsi="Courier New" w:hint="default"/>
      </w:rPr>
    </w:lvl>
    <w:lvl w:ilvl="2" w:tplc="A18E58AE" w:tentative="1">
      <w:start w:val="1"/>
      <w:numFmt w:val="bullet"/>
      <w:lvlText w:val=""/>
      <w:lvlJc w:val="left"/>
      <w:pPr>
        <w:ind w:left="2160" w:hanging="360"/>
      </w:pPr>
      <w:rPr>
        <w:rFonts w:ascii="Wingdings" w:hAnsi="Wingdings" w:hint="default"/>
      </w:rPr>
    </w:lvl>
    <w:lvl w:ilvl="3" w:tplc="64163670" w:tentative="1">
      <w:start w:val="1"/>
      <w:numFmt w:val="bullet"/>
      <w:lvlText w:val=""/>
      <w:lvlJc w:val="left"/>
      <w:pPr>
        <w:ind w:left="2880" w:hanging="360"/>
      </w:pPr>
      <w:rPr>
        <w:rFonts w:ascii="Symbol" w:hAnsi="Symbol" w:hint="default"/>
      </w:rPr>
    </w:lvl>
    <w:lvl w:ilvl="4" w:tplc="EC9829F6" w:tentative="1">
      <w:start w:val="1"/>
      <w:numFmt w:val="bullet"/>
      <w:lvlText w:val="o"/>
      <w:lvlJc w:val="left"/>
      <w:pPr>
        <w:ind w:left="3600" w:hanging="360"/>
      </w:pPr>
      <w:rPr>
        <w:rFonts w:ascii="Courier New" w:hAnsi="Courier New" w:hint="default"/>
      </w:rPr>
    </w:lvl>
    <w:lvl w:ilvl="5" w:tplc="34D4F0B8" w:tentative="1">
      <w:start w:val="1"/>
      <w:numFmt w:val="bullet"/>
      <w:lvlText w:val=""/>
      <w:lvlJc w:val="left"/>
      <w:pPr>
        <w:ind w:left="4320" w:hanging="360"/>
      </w:pPr>
      <w:rPr>
        <w:rFonts w:ascii="Wingdings" w:hAnsi="Wingdings" w:hint="default"/>
      </w:rPr>
    </w:lvl>
    <w:lvl w:ilvl="6" w:tplc="79984C90" w:tentative="1">
      <w:start w:val="1"/>
      <w:numFmt w:val="bullet"/>
      <w:lvlText w:val=""/>
      <w:lvlJc w:val="left"/>
      <w:pPr>
        <w:ind w:left="5040" w:hanging="360"/>
      </w:pPr>
      <w:rPr>
        <w:rFonts w:ascii="Symbol" w:hAnsi="Symbol" w:hint="default"/>
      </w:rPr>
    </w:lvl>
    <w:lvl w:ilvl="7" w:tplc="A9047908" w:tentative="1">
      <w:start w:val="1"/>
      <w:numFmt w:val="bullet"/>
      <w:lvlText w:val="o"/>
      <w:lvlJc w:val="left"/>
      <w:pPr>
        <w:ind w:left="5760" w:hanging="360"/>
      </w:pPr>
      <w:rPr>
        <w:rFonts w:ascii="Courier New" w:hAnsi="Courier New" w:hint="default"/>
      </w:rPr>
    </w:lvl>
    <w:lvl w:ilvl="8" w:tplc="C498A106" w:tentative="1">
      <w:start w:val="1"/>
      <w:numFmt w:val="bullet"/>
      <w:lvlText w:val=""/>
      <w:lvlJc w:val="left"/>
      <w:pPr>
        <w:ind w:left="6480" w:hanging="360"/>
      </w:pPr>
      <w:rPr>
        <w:rFonts w:ascii="Wingdings" w:hAnsi="Wingdings" w:hint="default"/>
      </w:rPr>
    </w:lvl>
  </w:abstractNum>
  <w:abstractNum w:abstractNumId="6" w15:restartNumberingAfterBreak="0">
    <w:nsid w:val="226A079D"/>
    <w:multiLevelType w:val="hybridMultilevel"/>
    <w:tmpl w:val="999C77D2"/>
    <w:lvl w:ilvl="0" w:tplc="753C19FC">
      <w:start w:val="1"/>
      <w:numFmt w:val="bullet"/>
      <w:lvlText w:val=""/>
      <w:lvlJc w:val="left"/>
      <w:pPr>
        <w:ind w:left="720" w:hanging="360"/>
      </w:pPr>
      <w:rPr>
        <w:rFonts w:ascii="Symbol" w:hAnsi="Symbol" w:hint="default"/>
      </w:rPr>
    </w:lvl>
    <w:lvl w:ilvl="1" w:tplc="6294608A" w:tentative="1">
      <w:start w:val="1"/>
      <w:numFmt w:val="bullet"/>
      <w:lvlText w:val="o"/>
      <w:lvlJc w:val="left"/>
      <w:pPr>
        <w:ind w:left="1440" w:hanging="360"/>
      </w:pPr>
      <w:rPr>
        <w:rFonts w:ascii="Courier New" w:hAnsi="Courier New" w:cs="Courier New" w:hint="default"/>
      </w:rPr>
    </w:lvl>
    <w:lvl w:ilvl="2" w:tplc="0950B0C8" w:tentative="1">
      <w:start w:val="1"/>
      <w:numFmt w:val="bullet"/>
      <w:lvlText w:val=""/>
      <w:lvlJc w:val="left"/>
      <w:pPr>
        <w:ind w:left="2160" w:hanging="360"/>
      </w:pPr>
      <w:rPr>
        <w:rFonts w:ascii="Wingdings" w:hAnsi="Wingdings" w:hint="default"/>
      </w:rPr>
    </w:lvl>
    <w:lvl w:ilvl="3" w:tplc="5580864A" w:tentative="1">
      <w:start w:val="1"/>
      <w:numFmt w:val="bullet"/>
      <w:lvlText w:val=""/>
      <w:lvlJc w:val="left"/>
      <w:pPr>
        <w:ind w:left="2880" w:hanging="360"/>
      </w:pPr>
      <w:rPr>
        <w:rFonts w:ascii="Symbol" w:hAnsi="Symbol" w:hint="default"/>
      </w:rPr>
    </w:lvl>
    <w:lvl w:ilvl="4" w:tplc="6CC8CF60" w:tentative="1">
      <w:start w:val="1"/>
      <w:numFmt w:val="bullet"/>
      <w:lvlText w:val="o"/>
      <w:lvlJc w:val="left"/>
      <w:pPr>
        <w:ind w:left="3600" w:hanging="360"/>
      </w:pPr>
      <w:rPr>
        <w:rFonts w:ascii="Courier New" w:hAnsi="Courier New" w:cs="Courier New" w:hint="default"/>
      </w:rPr>
    </w:lvl>
    <w:lvl w:ilvl="5" w:tplc="48C2BA62" w:tentative="1">
      <w:start w:val="1"/>
      <w:numFmt w:val="bullet"/>
      <w:lvlText w:val=""/>
      <w:lvlJc w:val="left"/>
      <w:pPr>
        <w:ind w:left="4320" w:hanging="360"/>
      </w:pPr>
      <w:rPr>
        <w:rFonts w:ascii="Wingdings" w:hAnsi="Wingdings" w:hint="default"/>
      </w:rPr>
    </w:lvl>
    <w:lvl w:ilvl="6" w:tplc="D6168DB8" w:tentative="1">
      <w:start w:val="1"/>
      <w:numFmt w:val="bullet"/>
      <w:lvlText w:val=""/>
      <w:lvlJc w:val="left"/>
      <w:pPr>
        <w:ind w:left="5040" w:hanging="360"/>
      </w:pPr>
      <w:rPr>
        <w:rFonts w:ascii="Symbol" w:hAnsi="Symbol" w:hint="default"/>
      </w:rPr>
    </w:lvl>
    <w:lvl w:ilvl="7" w:tplc="3AE253AE" w:tentative="1">
      <w:start w:val="1"/>
      <w:numFmt w:val="bullet"/>
      <w:lvlText w:val="o"/>
      <w:lvlJc w:val="left"/>
      <w:pPr>
        <w:ind w:left="5760" w:hanging="360"/>
      </w:pPr>
      <w:rPr>
        <w:rFonts w:ascii="Courier New" w:hAnsi="Courier New" w:cs="Courier New" w:hint="default"/>
      </w:rPr>
    </w:lvl>
    <w:lvl w:ilvl="8" w:tplc="AC9A1B6C" w:tentative="1">
      <w:start w:val="1"/>
      <w:numFmt w:val="bullet"/>
      <w:lvlText w:val=""/>
      <w:lvlJc w:val="left"/>
      <w:pPr>
        <w:ind w:left="6480" w:hanging="360"/>
      </w:pPr>
      <w:rPr>
        <w:rFonts w:ascii="Wingdings" w:hAnsi="Wingdings" w:hint="default"/>
      </w:rPr>
    </w:lvl>
  </w:abstractNum>
  <w:abstractNum w:abstractNumId="7" w15:restartNumberingAfterBreak="0">
    <w:nsid w:val="228C1E35"/>
    <w:multiLevelType w:val="hybridMultilevel"/>
    <w:tmpl w:val="39364B0C"/>
    <w:lvl w:ilvl="0" w:tplc="591263E4">
      <w:start w:val="22"/>
      <w:numFmt w:val="bullet"/>
      <w:lvlText w:val="-"/>
      <w:lvlJc w:val="left"/>
      <w:pPr>
        <w:ind w:left="360" w:hanging="360"/>
      </w:pPr>
      <w:rPr>
        <w:rFonts w:ascii="Times New Roman" w:eastAsiaTheme="minorHAnsi" w:hAnsi="Times New Roman" w:cs="Times New Roman" w:hint="default"/>
      </w:rPr>
    </w:lvl>
    <w:lvl w:ilvl="1" w:tplc="AA5E70D8">
      <w:start w:val="1"/>
      <w:numFmt w:val="bullet"/>
      <w:lvlText w:val="o"/>
      <w:lvlJc w:val="left"/>
      <w:pPr>
        <w:ind w:left="1080" w:hanging="360"/>
      </w:pPr>
      <w:rPr>
        <w:rFonts w:ascii="Courier New" w:hAnsi="Courier New" w:cs="Courier New" w:hint="default"/>
      </w:rPr>
    </w:lvl>
    <w:lvl w:ilvl="2" w:tplc="A9A0E422">
      <w:start w:val="1"/>
      <w:numFmt w:val="bullet"/>
      <w:lvlText w:val=""/>
      <w:lvlJc w:val="left"/>
      <w:pPr>
        <w:ind w:left="1800" w:hanging="360"/>
      </w:pPr>
      <w:rPr>
        <w:rFonts w:ascii="Wingdings" w:hAnsi="Wingdings" w:hint="default"/>
      </w:rPr>
    </w:lvl>
    <w:lvl w:ilvl="3" w:tplc="92B6D59A">
      <w:start w:val="1"/>
      <w:numFmt w:val="bullet"/>
      <w:lvlText w:val=""/>
      <w:lvlJc w:val="left"/>
      <w:pPr>
        <w:ind w:left="2520" w:hanging="360"/>
      </w:pPr>
      <w:rPr>
        <w:rFonts w:ascii="Symbol" w:hAnsi="Symbol" w:hint="default"/>
      </w:rPr>
    </w:lvl>
    <w:lvl w:ilvl="4" w:tplc="016C021E">
      <w:start w:val="1"/>
      <w:numFmt w:val="bullet"/>
      <w:lvlText w:val="o"/>
      <w:lvlJc w:val="left"/>
      <w:pPr>
        <w:ind w:left="3240" w:hanging="360"/>
      </w:pPr>
      <w:rPr>
        <w:rFonts w:ascii="Courier New" w:hAnsi="Courier New" w:cs="Courier New" w:hint="default"/>
      </w:rPr>
    </w:lvl>
    <w:lvl w:ilvl="5" w:tplc="7E4C98B4">
      <w:start w:val="1"/>
      <w:numFmt w:val="bullet"/>
      <w:lvlText w:val=""/>
      <w:lvlJc w:val="left"/>
      <w:pPr>
        <w:ind w:left="3960" w:hanging="360"/>
      </w:pPr>
      <w:rPr>
        <w:rFonts w:ascii="Wingdings" w:hAnsi="Wingdings" w:hint="default"/>
      </w:rPr>
    </w:lvl>
    <w:lvl w:ilvl="6" w:tplc="B45827BC">
      <w:start w:val="1"/>
      <w:numFmt w:val="bullet"/>
      <w:lvlText w:val=""/>
      <w:lvlJc w:val="left"/>
      <w:pPr>
        <w:ind w:left="4680" w:hanging="360"/>
      </w:pPr>
      <w:rPr>
        <w:rFonts w:ascii="Symbol" w:hAnsi="Symbol" w:hint="default"/>
      </w:rPr>
    </w:lvl>
    <w:lvl w:ilvl="7" w:tplc="BE7C182A">
      <w:start w:val="1"/>
      <w:numFmt w:val="bullet"/>
      <w:lvlText w:val="o"/>
      <w:lvlJc w:val="left"/>
      <w:pPr>
        <w:ind w:left="5400" w:hanging="360"/>
      </w:pPr>
      <w:rPr>
        <w:rFonts w:ascii="Courier New" w:hAnsi="Courier New" w:cs="Courier New" w:hint="default"/>
      </w:rPr>
    </w:lvl>
    <w:lvl w:ilvl="8" w:tplc="8CBA1D04">
      <w:start w:val="1"/>
      <w:numFmt w:val="bullet"/>
      <w:lvlText w:val=""/>
      <w:lvlJc w:val="left"/>
      <w:pPr>
        <w:ind w:left="6120" w:hanging="360"/>
      </w:pPr>
      <w:rPr>
        <w:rFonts w:ascii="Wingdings" w:hAnsi="Wingdings" w:hint="default"/>
      </w:rPr>
    </w:lvl>
  </w:abstractNum>
  <w:abstractNum w:abstractNumId="8" w15:restartNumberingAfterBreak="0">
    <w:nsid w:val="263911CD"/>
    <w:multiLevelType w:val="hybridMultilevel"/>
    <w:tmpl w:val="40E027DA"/>
    <w:lvl w:ilvl="0" w:tplc="5B5426B6">
      <w:start w:val="1"/>
      <w:numFmt w:val="bullet"/>
      <w:lvlText w:val=""/>
      <w:lvlJc w:val="left"/>
      <w:pPr>
        <w:ind w:left="720" w:hanging="360"/>
      </w:pPr>
      <w:rPr>
        <w:rFonts w:ascii="Symbol" w:hAnsi="Symbol" w:hint="default"/>
      </w:rPr>
    </w:lvl>
    <w:lvl w:ilvl="1" w:tplc="8FDA2CDC" w:tentative="1">
      <w:start w:val="1"/>
      <w:numFmt w:val="bullet"/>
      <w:lvlText w:val="o"/>
      <w:lvlJc w:val="left"/>
      <w:pPr>
        <w:ind w:left="1440" w:hanging="360"/>
      </w:pPr>
      <w:rPr>
        <w:rFonts w:ascii="Courier New" w:hAnsi="Courier New" w:hint="default"/>
      </w:rPr>
    </w:lvl>
    <w:lvl w:ilvl="2" w:tplc="42E80B08" w:tentative="1">
      <w:start w:val="1"/>
      <w:numFmt w:val="bullet"/>
      <w:lvlText w:val=""/>
      <w:lvlJc w:val="left"/>
      <w:pPr>
        <w:ind w:left="2160" w:hanging="360"/>
      </w:pPr>
      <w:rPr>
        <w:rFonts w:ascii="Wingdings" w:hAnsi="Wingdings" w:hint="default"/>
      </w:rPr>
    </w:lvl>
    <w:lvl w:ilvl="3" w:tplc="6C7AF22E" w:tentative="1">
      <w:start w:val="1"/>
      <w:numFmt w:val="bullet"/>
      <w:lvlText w:val=""/>
      <w:lvlJc w:val="left"/>
      <w:pPr>
        <w:ind w:left="2880" w:hanging="360"/>
      </w:pPr>
      <w:rPr>
        <w:rFonts w:ascii="Symbol" w:hAnsi="Symbol" w:hint="default"/>
      </w:rPr>
    </w:lvl>
    <w:lvl w:ilvl="4" w:tplc="585E8B90" w:tentative="1">
      <w:start w:val="1"/>
      <w:numFmt w:val="bullet"/>
      <w:lvlText w:val="o"/>
      <w:lvlJc w:val="left"/>
      <w:pPr>
        <w:ind w:left="3600" w:hanging="360"/>
      </w:pPr>
      <w:rPr>
        <w:rFonts w:ascii="Courier New" w:hAnsi="Courier New" w:hint="default"/>
      </w:rPr>
    </w:lvl>
    <w:lvl w:ilvl="5" w:tplc="A8762D5E" w:tentative="1">
      <w:start w:val="1"/>
      <w:numFmt w:val="bullet"/>
      <w:lvlText w:val=""/>
      <w:lvlJc w:val="left"/>
      <w:pPr>
        <w:ind w:left="4320" w:hanging="360"/>
      </w:pPr>
      <w:rPr>
        <w:rFonts w:ascii="Wingdings" w:hAnsi="Wingdings" w:hint="default"/>
      </w:rPr>
    </w:lvl>
    <w:lvl w:ilvl="6" w:tplc="D1C04764" w:tentative="1">
      <w:start w:val="1"/>
      <w:numFmt w:val="bullet"/>
      <w:lvlText w:val=""/>
      <w:lvlJc w:val="left"/>
      <w:pPr>
        <w:ind w:left="5040" w:hanging="360"/>
      </w:pPr>
      <w:rPr>
        <w:rFonts w:ascii="Symbol" w:hAnsi="Symbol" w:hint="default"/>
      </w:rPr>
    </w:lvl>
    <w:lvl w:ilvl="7" w:tplc="3E0239FC" w:tentative="1">
      <w:start w:val="1"/>
      <w:numFmt w:val="bullet"/>
      <w:lvlText w:val="o"/>
      <w:lvlJc w:val="left"/>
      <w:pPr>
        <w:ind w:left="5760" w:hanging="360"/>
      </w:pPr>
      <w:rPr>
        <w:rFonts w:ascii="Courier New" w:hAnsi="Courier New" w:hint="default"/>
      </w:rPr>
    </w:lvl>
    <w:lvl w:ilvl="8" w:tplc="EC60DC1E" w:tentative="1">
      <w:start w:val="1"/>
      <w:numFmt w:val="bullet"/>
      <w:lvlText w:val=""/>
      <w:lvlJc w:val="left"/>
      <w:pPr>
        <w:ind w:left="6480" w:hanging="360"/>
      </w:pPr>
      <w:rPr>
        <w:rFonts w:ascii="Wingdings" w:hAnsi="Wingdings" w:hint="default"/>
      </w:rPr>
    </w:lvl>
  </w:abstractNum>
  <w:abstractNum w:abstractNumId="9" w15:restartNumberingAfterBreak="0">
    <w:nsid w:val="26500913"/>
    <w:multiLevelType w:val="hybridMultilevel"/>
    <w:tmpl w:val="BD68F206"/>
    <w:lvl w:ilvl="0" w:tplc="6706E21C">
      <w:start w:val="1"/>
      <w:numFmt w:val="decimal"/>
      <w:pStyle w:val="berschrift3"/>
      <w:lvlText w:val="%1."/>
      <w:lvlJc w:val="left"/>
      <w:pPr>
        <w:ind w:left="720" w:hanging="360"/>
      </w:pPr>
      <w:rPr>
        <w:rFonts w:cs="Times New Roman"/>
      </w:rPr>
    </w:lvl>
    <w:lvl w:ilvl="1" w:tplc="CFAC9ED4" w:tentative="1">
      <w:start w:val="1"/>
      <w:numFmt w:val="lowerLetter"/>
      <w:lvlText w:val="%2."/>
      <w:lvlJc w:val="left"/>
      <w:pPr>
        <w:ind w:left="1440" w:hanging="360"/>
      </w:pPr>
      <w:rPr>
        <w:rFonts w:cs="Times New Roman"/>
      </w:rPr>
    </w:lvl>
    <w:lvl w:ilvl="2" w:tplc="C4DE1BCE" w:tentative="1">
      <w:start w:val="1"/>
      <w:numFmt w:val="lowerRoman"/>
      <w:lvlText w:val="%3."/>
      <w:lvlJc w:val="right"/>
      <w:pPr>
        <w:ind w:left="2160" w:hanging="180"/>
      </w:pPr>
      <w:rPr>
        <w:rFonts w:cs="Times New Roman"/>
      </w:rPr>
    </w:lvl>
    <w:lvl w:ilvl="3" w:tplc="1F80C2C8" w:tentative="1">
      <w:start w:val="1"/>
      <w:numFmt w:val="decimal"/>
      <w:lvlText w:val="%4."/>
      <w:lvlJc w:val="left"/>
      <w:pPr>
        <w:ind w:left="2880" w:hanging="360"/>
      </w:pPr>
      <w:rPr>
        <w:rFonts w:cs="Times New Roman"/>
      </w:rPr>
    </w:lvl>
    <w:lvl w:ilvl="4" w:tplc="ECE23734" w:tentative="1">
      <w:start w:val="1"/>
      <w:numFmt w:val="lowerLetter"/>
      <w:lvlText w:val="%5."/>
      <w:lvlJc w:val="left"/>
      <w:pPr>
        <w:ind w:left="3600" w:hanging="360"/>
      </w:pPr>
      <w:rPr>
        <w:rFonts w:cs="Times New Roman"/>
      </w:rPr>
    </w:lvl>
    <w:lvl w:ilvl="5" w:tplc="0E88CE04" w:tentative="1">
      <w:start w:val="1"/>
      <w:numFmt w:val="lowerRoman"/>
      <w:lvlText w:val="%6."/>
      <w:lvlJc w:val="right"/>
      <w:pPr>
        <w:ind w:left="4320" w:hanging="180"/>
      </w:pPr>
      <w:rPr>
        <w:rFonts w:cs="Times New Roman"/>
      </w:rPr>
    </w:lvl>
    <w:lvl w:ilvl="6" w:tplc="0CB6EF4A" w:tentative="1">
      <w:start w:val="1"/>
      <w:numFmt w:val="decimal"/>
      <w:lvlText w:val="%7."/>
      <w:lvlJc w:val="left"/>
      <w:pPr>
        <w:ind w:left="5040" w:hanging="360"/>
      </w:pPr>
      <w:rPr>
        <w:rFonts w:cs="Times New Roman"/>
      </w:rPr>
    </w:lvl>
    <w:lvl w:ilvl="7" w:tplc="70AA8AB8" w:tentative="1">
      <w:start w:val="1"/>
      <w:numFmt w:val="lowerLetter"/>
      <w:lvlText w:val="%8."/>
      <w:lvlJc w:val="left"/>
      <w:pPr>
        <w:ind w:left="5760" w:hanging="360"/>
      </w:pPr>
      <w:rPr>
        <w:rFonts w:cs="Times New Roman"/>
      </w:rPr>
    </w:lvl>
    <w:lvl w:ilvl="8" w:tplc="3B241D3E" w:tentative="1">
      <w:start w:val="1"/>
      <w:numFmt w:val="lowerRoman"/>
      <w:lvlText w:val="%9."/>
      <w:lvlJc w:val="right"/>
      <w:pPr>
        <w:ind w:left="6480" w:hanging="180"/>
      </w:pPr>
      <w:rPr>
        <w:rFonts w:cs="Times New Roman"/>
      </w:rPr>
    </w:lvl>
  </w:abstractNum>
  <w:abstractNum w:abstractNumId="10" w15:restartNumberingAfterBreak="0">
    <w:nsid w:val="366334C0"/>
    <w:multiLevelType w:val="hybridMultilevel"/>
    <w:tmpl w:val="DAC8BAA8"/>
    <w:lvl w:ilvl="0" w:tplc="C4661578">
      <w:start w:val="1"/>
      <w:numFmt w:val="decimal"/>
      <w:lvlText w:val="%1."/>
      <w:lvlJc w:val="left"/>
      <w:pPr>
        <w:ind w:left="720" w:hanging="360"/>
      </w:pPr>
      <w:rPr>
        <w:rFonts w:cs="Times New Roman" w:hint="default"/>
      </w:rPr>
    </w:lvl>
    <w:lvl w:ilvl="1" w:tplc="0F5238FE" w:tentative="1">
      <w:start w:val="1"/>
      <w:numFmt w:val="bullet"/>
      <w:lvlText w:val="o"/>
      <w:lvlJc w:val="left"/>
      <w:pPr>
        <w:ind w:left="1440" w:hanging="360"/>
      </w:pPr>
      <w:rPr>
        <w:rFonts w:ascii="Courier New" w:hAnsi="Courier New" w:hint="default"/>
      </w:rPr>
    </w:lvl>
    <w:lvl w:ilvl="2" w:tplc="EFDA3E4E" w:tentative="1">
      <w:start w:val="1"/>
      <w:numFmt w:val="bullet"/>
      <w:lvlText w:val=""/>
      <w:lvlJc w:val="left"/>
      <w:pPr>
        <w:ind w:left="2160" w:hanging="360"/>
      </w:pPr>
      <w:rPr>
        <w:rFonts w:ascii="Wingdings" w:hAnsi="Wingdings" w:hint="default"/>
      </w:rPr>
    </w:lvl>
    <w:lvl w:ilvl="3" w:tplc="9AB46D78" w:tentative="1">
      <w:start w:val="1"/>
      <w:numFmt w:val="bullet"/>
      <w:lvlText w:val=""/>
      <w:lvlJc w:val="left"/>
      <w:pPr>
        <w:ind w:left="2880" w:hanging="360"/>
      </w:pPr>
      <w:rPr>
        <w:rFonts w:ascii="Symbol" w:hAnsi="Symbol" w:hint="default"/>
      </w:rPr>
    </w:lvl>
    <w:lvl w:ilvl="4" w:tplc="F59CE206" w:tentative="1">
      <w:start w:val="1"/>
      <w:numFmt w:val="bullet"/>
      <w:lvlText w:val="o"/>
      <w:lvlJc w:val="left"/>
      <w:pPr>
        <w:ind w:left="3600" w:hanging="360"/>
      </w:pPr>
      <w:rPr>
        <w:rFonts w:ascii="Courier New" w:hAnsi="Courier New" w:hint="default"/>
      </w:rPr>
    </w:lvl>
    <w:lvl w:ilvl="5" w:tplc="C062F412" w:tentative="1">
      <w:start w:val="1"/>
      <w:numFmt w:val="bullet"/>
      <w:lvlText w:val=""/>
      <w:lvlJc w:val="left"/>
      <w:pPr>
        <w:ind w:left="4320" w:hanging="360"/>
      </w:pPr>
      <w:rPr>
        <w:rFonts w:ascii="Wingdings" w:hAnsi="Wingdings" w:hint="default"/>
      </w:rPr>
    </w:lvl>
    <w:lvl w:ilvl="6" w:tplc="20C6C10C" w:tentative="1">
      <w:start w:val="1"/>
      <w:numFmt w:val="bullet"/>
      <w:lvlText w:val=""/>
      <w:lvlJc w:val="left"/>
      <w:pPr>
        <w:ind w:left="5040" w:hanging="360"/>
      </w:pPr>
      <w:rPr>
        <w:rFonts w:ascii="Symbol" w:hAnsi="Symbol" w:hint="default"/>
      </w:rPr>
    </w:lvl>
    <w:lvl w:ilvl="7" w:tplc="7D548BC4" w:tentative="1">
      <w:start w:val="1"/>
      <w:numFmt w:val="bullet"/>
      <w:lvlText w:val="o"/>
      <w:lvlJc w:val="left"/>
      <w:pPr>
        <w:ind w:left="5760" w:hanging="360"/>
      </w:pPr>
      <w:rPr>
        <w:rFonts w:ascii="Courier New" w:hAnsi="Courier New" w:hint="default"/>
      </w:rPr>
    </w:lvl>
    <w:lvl w:ilvl="8" w:tplc="5E6CBCD4" w:tentative="1">
      <w:start w:val="1"/>
      <w:numFmt w:val="bullet"/>
      <w:lvlText w:val=""/>
      <w:lvlJc w:val="left"/>
      <w:pPr>
        <w:ind w:left="6480" w:hanging="360"/>
      </w:pPr>
      <w:rPr>
        <w:rFonts w:ascii="Wingdings" w:hAnsi="Wingdings" w:hint="default"/>
      </w:rPr>
    </w:lvl>
  </w:abstractNum>
  <w:abstractNum w:abstractNumId="11" w15:restartNumberingAfterBreak="0">
    <w:nsid w:val="38D636E8"/>
    <w:multiLevelType w:val="hybridMultilevel"/>
    <w:tmpl w:val="5B88F45A"/>
    <w:lvl w:ilvl="0" w:tplc="40DA4D62">
      <w:start w:val="1"/>
      <w:numFmt w:val="bullet"/>
      <w:lvlText w:val=""/>
      <w:lvlJc w:val="left"/>
      <w:pPr>
        <w:ind w:left="720" w:hanging="360"/>
      </w:pPr>
      <w:rPr>
        <w:rFonts w:ascii="Symbol" w:hAnsi="Symbol" w:hint="default"/>
      </w:rPr>
    </w:lvl>
    <w:lvl w:ilvl="1" w:tplc="1F14BB58">
      <w:start w:val="1"/>
      <w:numFmt w:val="bullet"/>
      <w:lvlText w:val="o"/>
      <w:lvlJc w:val="left"/>
      <w:pPr>
        <w:ind w:left="1440" w:hanging="360"/>
      </w:pPr>
      <w:rPr>
        <w:rFonts w:ascii="Courier New" w:hAnsi="Courier New" w:hint="default"/>
      </w:rPr>
    </w:lvl>
    <w:lvl w:ilvl="2" w:tplc="A4108672">
      <w:start w:val="1"/>
      <w:numFmt w:val="bullet"/>
      <w:lvlText w:val=""/>
      <w:lvlJc w:val="left"/>
      <w:pPr>
        <w:ind w:left="2160" w:hanging="360"/>
      </w:pPr>
      <w:rPr>
        <w:rFonts w:ascii="Wingdings" w:hAnsi="Wingdings" w:hint="default"/>
      </w:rPr>
    </w:lvl>
    <w:lvl w:ilvl="3" w:tplc="466E5A40">
      <w:start w:val="1"/>
      <w:numFmt w:val="bullet"/>
      <w:lvlText w:val=""/>
      <w:lvlJc w:val="left"/>
      <w:pPr>
        <w:ind w:left="2880" w:hanging="360"/>
      </w:pPr>
      <w:rPr>
        <w:rFonts w:ascii="Symbol" w:hAnsi="Symbol" w:hint="default"/>
      </w:rPr>
    </w:lvl>
    <w:lvl w:ilvl="4" w:tplc="A616322A">
      <w:start w:val="1"/>
      <w:numFmt w:val="bullet"/>
      <w:lvlText w:val="o"/>
      <w:lvlJc w:val="left"/>
      <w:pPr>
        <w:ind w:left="3600" w:hanging="360"/>
      </w:pPr>
      <w:rPr>
        <w:rFonts w:ascii="Courier New" w:hAnsi="Courier New" w:hint="default"/>
      </w:rPr>
    </w:lvl>
    <w:lvl w:ilvl="5" w:tplc="C2222314">
      <w:start w:val="1"/>
      <w:numFmt w:val="bullet"/>
      <w:lvlText w:val=""/>
      <w:lvlJc w:val="left"/>
      <w:pPr>
        <w:ind w:left="4320" w:hanging="360"/>
      </w:pPr>
      <w:rPr>
        <w:rFonts w:ascii="Wingdings" w:hAnsi="Wingdings" w:hint="default"/>
      </w:rPr>
    </w:lvl>
    <w:lvl w:ilvl="6" w:tplc="0CCE9E00">
      <w:start w:val="1"/>
      <w:numFmt w:val="bullet"/>
      <w:lvlText w:val=""/>
      <w:lvlJc w:val="left"/>
      <w:pPr>
        <w:ind w:left="5040" w:hanging="360"/>
      </w:pPr>
      <w:rPr>
        <w:rFonts w:ascii="Symbol" w:hAnsi="Symbol" w:hint="default"/>
      </w:rPr>
    </w:lvl>
    <w:lvl w:ilvl="7" w:tplc="F3AC981E">
      <w:start w:val="1"/>
      <w:numFmt w:val="bullet"/>
      <w:lvlText w:val="o"/>
      <w:lvlJc w:val="left"/>
      <w:pPr>
        <w:ind w:left="5760" w:hanging="360"/>
      </w:pPr>
      <w:rPr>
        <w:rFonts w:ascii="Courier New" w:hAnsi="Courier New" w:hint="default"/>
      </w:rPr>
    </w:lvl>
    <w:lvl w:ilvl="8" w:tplc="1F3A741E">
      <w:start w:val="1"/>
      <w:numFmt w:val="bullet"/>
      <w:lvlText w:val=""/>
      <w:lvlJc w:val="left"/>
      <w:pPr>
        <w:ind w:left="6480" w:hanging="360"/>
      </w:pPr>
      <w:rPr>
        <w:rFonts w:ascii="Wingdings" w:hAnsi="Wingdings" w:hint="default"/>
      </w:rPr>
    </w:lvl>
  </w:abstractNum>
  <w:abstractNum w:abstractNumId="12" w15:restartNumberingAfterBreak="0">
    <w:nsid w:val="3CE85E94"/>
    <w:multiLevelType w:val="hybridMultilevel"/>
    <w:tmpl w:val="4920A282"/>
    <w:lvl w:ilvl="0" w:tplc="2BEA29FE">
      <w:start w:val="1"/>
      <w:numFmt w:val="bullet"/>
      <w:lvlText w:val=""/>
      <w:lvlJc w:val="left"/>
      <w:pPr>
        <w:ind w:left="720" w:hanging="360"/>
      </w:pPr>
      <w:rPr>
        <w:rFonts w:ascii="Symbol" w:hAnsi="Symbol" w:hint="default"/>
      </w:rPr>
    </w:lvl>
    <w:lvl w:ilvl="1" w:tplc="64D81098" w:tentative="1">
      <w:start w:val="1"/>
      <w:numFmt w:val="bullet"/>
      <w:lvlText w:val="o"/>
      <w:lvlJc w:val="left"/>
      <w:pPr>
        <w:ind w:left="1440" w:hanging="360"/>
      </w:pPr>
      <w:rPr>
        <w:rFonts w:ascii="Courier New" w:hAnsi="Courier New" w:cs="Courier New" w:hint="default"/>
      </w:rPr>
    </w:lvl>
    <w:lvl w:ilvl="2" w:tplc="0A00DFAE" w:tentative="1">
      <w:start w:val="1"/>
      <w:numFmt w:val="bullet"/>
      <w:lvlText w:val=""/>
      <w:lvlJc w:val="left"/>
      <w:pPr>
        <w:ind w:left="2160" w:hanging="360"/>
      </w:pPr>
      <w:rPr>
        <w:rFonts w:ascii="Wingdings" w:hAnsi="Wingdings" w:hint="default"/>
      </w:rPr>
    </w:lvl>
    <w:lvl w:ilvl="3" w:tplc="9056A246" w:tentative="1">
      <w:start w:val="1"/>
      <w:numFmt w:val="bullet"/>
      <w:lvlText w:val=""/>
      <w:lvlJc w:val="left"/>
      <w:pPr>
        <w:ind w:left="2880" w:hanging="360"/>
      </w:pPr>
      <w:rPr>
        <w:rFonts w:ascii="Symbol" w:hAnsi="Symbol" w:hint="default"/>
      </w:rPr>
    </w:lvl>
    <w:lvl w:ilvl="4" w:tplc="E13E82CE" w:tentative="1">
      <w:start w:val="1"/>
      <w:numFmt w:val="bullet"/>
      <w:lvlText w:val="o"/>
      <w:lvlJc w:val="left"/>
      <w:pPr>
        <w:ind w:left="3600" w:hanging="360"/>
      </w:pPr>
      <w:rPr>
        <w:rFonts w:ascii="Courier New" w:hAnsi="Courier New" w:cs="Courier New" w:hint="default"/>
      </w:rPr>
    </w:lvl>
    <w:lvl w:ilvl="5" w:tplc="A686F52A" w:tentative="1">
      <w:start w:val="1"/>
      <w:numFmt w:val="bullet"/>
      <w:lvlText w:val=""/>
      <w:lvlJc w:val="left"/>
      <w:pPr>
        <w:ind w:left="4320" w:hanging="360"/>
      </w:pPr>
      <w:rPr>
        <w:rFonts w:ascii="Wingdings" w:hAnsi="Wingdings" w:hint="default"/>
      </w:rPr>
    </w:lvl>
    <w:lvl w:ilvl="6" w:tplc="DAAA36C4" w:tentative="1">
      <w:start w:val="1"/>
      <w:numFmt w:val="bullet"/>
      <w:lvlText w:val=""/>
      <w:lvlJc w:val="left"/>
      <w:pPr>
        <w:ind w:left="5040" w:hanging="360"/>
      </w:pPr>
      <w:rPr>
        <w:rFonts w:ascii="Symbol" w:hAnsi="Symbol" w:hint="default"/>
      </w:rPr>
    </w:lvl>
    <w:lvl w:ilvl="7" w:tplc="48A2F2E8" w:tentative="1">
      <w:start w:val="1"/>
      <w:numFmt w:val="bullet"/>
      <w:lvlText w:val="o"/>
      <w:lvlJc w:val="left"/>
      <w:pPr>
        <w:ind w:left="5760" w:hanging="360"/>
      </w:pPr>
      <w:rPr>
        <w:rFonts w:ascii="Courier New" w:hAnsi="Courier New" w:cs="Courier New" w:hint="default"/>
      </w:rPr>
    </w:lvl>
    <w:lvl w:ilvl="8" w:tplc="4F2C9C44" w:tentative="1">
      <w:start w:val="1"/>
      <w:numFmt w:val="bullet"/>
      <w:lvlText w:val=""/>
      <w:lvlJc w:val="left"/>
      <w:pPr>
        <w:ind w:left="6480" w:hanging="360"/>
      </w:pPr>
      <w:rPr>
        <w:rFonts w:ascii="Wingdings" w:hAnsi="Wingdings" w:hint="default"/>
      </w:rPr>
    </w:lvl>
  </w:abstractNum>
  <w:abstractNum w:abstractNumId="13" w15:restartNumberingAfterBreak="0">
    <w:nsid w:val="44B3576C"/>
    <w:multiLevelType w:val="multilevel"/>
    <w:tmpl w:val="2422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6650C"/>
    <w:multiLevelType w:val="hybridMultilevel"/>
    <w:tmpl w:val="AF5287F8"/>
    <w:lvl w:ilvl="0" w:tplc="E0F0DE46">
      <w:numFmt w:val="bullet"/>
      <w:lvlText w:val="-"/>
      <w:lvlJc w:val="left"/>
      <w:pPr>
        <w:ind w:left="1776" w:hanging="360"/>
      </w:pPr>
      <w:rPr>
        <w:rFonts w:ascii="Arial" w:eastAsia="Calibri" w:hAnsi="Arial" w:cs="Arial" w:hint="default"/>
      </w:rPr>
    </w:lvl>
    <w:lvl w:ilvl="1" w:tplc="DB222C7C">
      <w:start w:val="1"/>
      <w:numFmt w:val="bullet"/>
      <w:lvlText w:val="o"/>
      <w:lvlJc w:val="left"/>
      <w:pPr>
        <w:ind w:left="2496" w:hanging="360"/>
      </w:pPr>
      <w:rPr>
        <w:rFonts w:ascii="Courier New" w:hAnsi="Courier New" w:cs="Courier New" w:hint="default"/>
      </w:rPr>
    </w:lvl>
    <w:lvl w:ilvl="2" w:tplc="0472C48C">
      <w:start w:val="1"/>
      <w:numFmt w:val="bullet"/>
      <w:lvlText w:val=""/>
      <w:lvlJc w:val="left"/>
      <w:pPr>
        <w:ind w:left="3216" w:hanging="360"/>
      </w:pPr>
      <w:rPr>
        <w:rFonts w:ascii="Wingdings" w:hAnsi="Wingdings" w:hint="default"/>
      </w:rPr>
    </w:lvl>
    <w:lvl w:ilvl="3" w:tplc="A56EDC54">
      <w:start w:val="1"/>
      <w:numFmt w:val="bullet"/>
      <w:lvlText w:val=""/>
      <w:lvlJc w:val="left"/>
      <w:pPr>
        <w:ind w:left="3936" w:hanging="360"/>
      </w:pPr>
      <w:rPr>
        <w:rFonts w:ascii="Symbol" w:hAnsi="Symbol" w:hint="default"/>
      </w:rPr>
    </w:lvl>
    <w:lvl w:ilvl="4" w:tplc="3EF47690">
      <w:start w:val="1"/>
      <w:numFmt w:val="bullet"/>
      <w:lvlText w:val="o"/>
      <w:lvlJc w:val="left"/>
      <w:pPr>
        <w:ind w:left="4656" w:hanging="360"/>
      </w:pPr>
      <w:rPr>
        <w:rFonts w:ascii="Courier New" w:hAnsi="Courier New" w:cs="Courier New" w:hint="default"/>
      </w:rPr>
    </w:lvl>
    <w:lvl w:ilvl="5" w:tplc="0CC645E0">
      <w:start w:val="1"/>
      <w:numFmt w:val="bullet"/>
      <w:lvlText w:val=""/>
      <w:lvlJc w:val="left"/>
      <w:pPr>
        <w:ind w:left="5376" w:hanging="360"/>
      </w:pPr>
      <w:rPr>
        <w:rFonts w:ascii="Wingdings" w:hAnsi="Wingdings" w:hint="default"/>
      </w:rPr>
    </w:lvl>
    <w:lvl w:ilvl="6" w:tplc="1F7A03E2">
      <w:start w:val="1"/>
      <w:numFmt w:val="bullet"/>
      <w:lvlText w:val=""/>
      <w:lvlJc w:val="left"/>
      <w:pPr>
        <w:ind w:left="6096" w:hanging="360"/>
      </w:pPr>
      <w:rPr>
        <w:rFonts w:ascii="Symbol" w:hAnsi="Symbol" w:hint="default"/>
      </w:rPr>
    </w:lvl>
    <w:lvl w:ilvl="7" w:tplc="5CDCE32C">
      <w:start w:val="1"/>
      <w:numFmt w:val="bullet"/>
      <w:lvlText w:val="o"/>
      <w:lvlJc w:val="left"/>
      <w:pPr>
        <w:ind w:left="6816" w:hanging="360"/>
      </w:pPr>
      <w:rPr>
        <w:rFonts w:ascii="Courier New" w:hAnsi="Courier New" w:cs="Courier New" w:hint="default"/>
      </w:rPr>
    </w:lvl>
    <w:lvl w:ilvl="8" w:tplc="C4E40E68">
      <w:start w:val="1"/>
      <w:numFmt w:val="bullet"/>
      <w:lvlText w:val=""/>
      <w:lvlJc w:val="left"/>
      <w:pPr>
        <w:ind w:left="7536" w:hanging="360"/>
      </w:pPr>
      <w:rPr>
        <w:rFonts w:ascii="Wingdings" w:hAnsi="Wingdings" w:hint="default"/>
      </w:rPr>
    </w:lvl>
  </w:abstractNum>
  <w:abstractNum w:abstractNumId="15" w15:restartNumberingAfterBreak="0">
    <w:nsid w:val="50C2691E"/>
    <w:multiLevelType w:val="hybridMultilevel"/>
    <w:tmpl w:val="C116196E"/>
    <w:lvl w:ilvl="0" w:tplc="B3683AEE">
      <w:start w:val="1"/>
      <w:numFmt w:val="bullet"/>
      <w:lvlText w:val=""/>
      <w:lvlJc w:val="left"/>
      <w:pPr>
        <w:ind w:left="720" w:hanging="360"/>
      </w:pPr>
      <w:rPr>
        <w:rFonts w:ascii="Wingdings" w:hAnsi="Wingdings" w:hint="default"/>
      </w:rPr>
    </w:lvl>
    <w:lvl w:ilvl="1" w:tplc="4DE4BA06" w:tentative="1">
      <w:start w:val="1"/>
      <w:numFmt w:val="bullet"/>
      <w:lvlText w:val="o"/>
      <w:lvlJc w:val="left"/>
      <w:pPr>
        <w:ind w:left="1440" w:hanging="360"/>
      </w:pPr>
      <w:rPr>
        <w:rFonts w:ascii="Courier New" w:hAnsi="Courier New" w:cs="Courier New" w:hint="default"/>
      </w:rPr>
    </w:lvl>
    <w:lvl w:ilvl="2" w:tplc="3000B5A0" w:tentative="1">
      <w:start w:val="1"/>
      <w:numFmt w:val="bullet"/>
      <w:lvlText w:val=""/>
      <w:lvlJc w:val="left"/>
      <w:pPr>
        <w:ind w:left="2160" w:hanging="360"/>
      </w:pPr>
      <w:rPr>
        <w:rFonts w:ascii="Wingdings" w:hAnsi="Wingdings" w:hint="default"/>
      </w:rPr>
    </w:lvl>
    <w:lvl w:ilvl="3" w:tplc="27E03236" w:tentative="1">
      <w:start w:val="1"/>
      <w:numFmt w:val="bullet"/>
      <w:lvlText w:val=""/>
      <w:lvlJc w:val="left"/>
      <w:pPr>
        <w:ind w:left="2880" w:hanging="360"/>
      </w:pPr>
      <w:rPr>
        <w:rFonts w:ascii="Symbol" w:hAnsi="Symbol" w:hint="default"/>
      </w:rPr>
    </w:lvl>
    <w:lvl w:ilvl="4" w:tplc="9B882A96" w:tentative="1">
      <w:start w:val="1"/>
      <w:numFmt w:val="bullet"/>
      <w:lvlText w:val="o"/>
      <w:lvlJc w:val="left"/>
      <w:pPr>
        <w:ind w:left="3600" w:hanging="360"/>
      </w:pPr>
      <w:rPr>
        <w:rFonts w:ascii="Courier New" w:hAnsi="Courier New" w:cs="Courier New" w:hint="default"/>
      </w:rPr>
    </w:lvl>
    <w:lvl w:ilvl="5" w:tplc="187A7E56" w:tentative="1">
      <w:start w:val="1"/>
      <w:numFmt w:val="bullet"/>
      <w:lvlText w:val=""/>
      <w:lvlJc w:val="left"/>
      <w:pPr>
        <w:ind w:left="4320" w:hanging="360"/>
      </w:pPr>
      <w:rPr>
        <w:rFonts w:ascii="Wingdings" w:hAnsi="Wingdings" w:hint="default"/>
      </w:rPr>
    </w:lvl>
    <w:lvl w:ilvl="6" w:tplc="1A522B5E" w:tentative="1">
      <w:start w:val="1"/>
      <w:numFmt w:val="bullet"/>
      <w:lvlText w:val=""/>
      <w:lvlJc w:val="left"/>
      <w:pPr>
        <w:ind w:left="5040" w:hanging="360"/>
      </w:pPr>
      <w:rPr>
        <w:rFonts w:ascii="Symbol" w:hAnsi="Symbol" w:hint="default"/>
      </w:rPr>
    </w:lvl>
    <w:lvl w:ilvl="7" w:tplc="1D989FD8" w:tentative="1">
      <w:start w:val="1"/>
      <w:numFmt w:val="bullet"/>
      <w:lvlText w:val="o"/>
      <w:lvlJc w:val="left"/>
      <w:pPr>
        <w:ind w:left="5760" w:hanging="360"/>
      </w:pPr>
      <w:rPr>
        <w:rFonts w:ascii="Courier New" w:hAnsi="Courier New" w:cs="Courier New" w:hint="default"/>
      </w:rPr>
    </w:lvl>
    <w:lvl w:ilvl="8" w:tplc="BF1E7494" w:tentative="1">
      <w:start w:val="1"/>
      <w:numFmt w:val="bullet"/>
      <w:lvlText w:val=""/>
      <w:lvlJc w:val="left"/>
      <w:pPr>
        <w:ind w:left="6480" w:hanging="360"/>
      </w:pPr>
      <w:rPr>
        <w:rFonts w:ascii="Wingdings" w:hAnsi="Wingdings" w:hint="default"/>
      </w:rPr>
    </w:lvl>
  </w:abstractNum>
  <w:abstractNum w:abstractNumId="16" w15:restartNumberingAfterBreak="0">
    <w:nsid w:val="53285B35"/>
    <w:multiLevelType w:val="multilevel"/>
    <w:tmpl w:val="B0C2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A25821"/>
    <w:multiLevelType w:val="hybridMultilevel"/>
    <w:tmpl w:val="5DB2CA7A"/>
    <w:lvl w:ilvl="0" w:tplc="0E203054">
      <w:start w:val="1"/>
      <w:numFmt w:val="bullet"/>
      <w:lvlText w:val=""/>
      <w:lvlJc w:val="left"/>
      <w:pPr>
        <w:tabs>
          <w:tab w:val="num" w:pos="720"/>
        </w:tabs>
        <w:ind w:left="720" w:hanging="360"/>
      </w:pPr>
      <w:rPr>
        <w:rFonts w:ascii="Wingdings" w:hAnsi="Wingdings" w:hint="default"/>
      </w:rPr>
    </w:lvl>
    <w:lvl w:ilvl="1" w:tplc="8C6CAD5E" w:tentative="1">
      <w:start w:val="1"/>
      <w:numFmt w:val="bullet"/>
      <w:lvlText w:val=""/>
      <w:lvlJc w:val="left"/>
      <w:pPr>
        <w:tabs>
          <w:tab w:val="num" w:pos="1440"/>
        </w:tabs>
        <w:ind w:left="1440" w:hanging="360"/>
      </w:pPr>
      <w:rPr>
        <w:rFonts w:ascii="Wingdings" w:hAnsi="Wingdings" w:hint="default"/>
      </w:rPr>
    </w:lvl>
    <w:lvl w:ilvl="2" w:tplc="998067A6" w:tentative="1">
      <w:start w:val="1"/>
      <w:numFmt w:val="bullet"/>
      <w:lvlText w:val=""/>
      <w:lvlJc w:val="left"/>
      <w:pPr>
        <w:tabs>
          <w:tab w:val="num" w:pos="2160"/>
        </w:tabs>
        <w:ind w:left="2160" w:hanging="360"/>
      </w:pPr>
      <w:rPr>
        <w:rFonts w:ascii="Wingdings" w:hAnsi="Wingdings" w:hint="default"/>
      </w:rPr>
    </w:lvl>
    <w:lvl w:ilvl="3" w:tplc="A414000E" w:tentative="1">
      <w:start w:val="1"/>
      <w:numFmt w:val="bullet"/>
      <w:lvlText w:val=""/>
      <w:lvlJc w:val="left"/>
      <w:pPr>
        <w:tabs>
          <w:tab w:val="num" w:pos="2880"/>
        </w:tabs>
        <w:ind w:left="2880" w:hanging="360"/>
      </w:pPr>
      <w:rPr>
        <w:rFonts w:ascii="Wingdings" w:hAnsi="Wingdings" w:hint="default"/>
      </w:rPr>
    </w:lvl>
    <w:lvl w:ilvl="4" w:tplc="6576EDC4" w:tentative="1">
      <w:start w:val="1"/>
      <w:numFmt w:val="bullet"/>
      <w:lvlText w:val=""/>
      <w:lvlJc w:val="left"/>
      <w:pPr>
        <w:tabs>
          <w:tab w:val="num" w:pos="3600"/>
        </w:tabs>
        <w:ind w:left="3600" w:hanging="360"/>
      </w:pPr>
      <w:rPr>
        <w:rFonts w:ascii="Wingdings" w:hAnsi="Wingdings" w:hint="default"/>
      </w:rPr>
    </w:lvl>
    <w:lvl w:ilvl="5" w:tplc="1D8E145A" w:tentative="1">
      <w:start w:val="1"/>
      <w:numFmt w:val="bullet"/>
      <w:lvlText w:val=""/>
      <w:lvlJc w:val="left"/>
      <w:pPr>
        <w:tabs>
          <w:tab w:val="num" w:pos="4320"/>
        </w:tabs>
        <w:ind w:left="4320" w:hanging="360"/>
      </w:pPr>
      <w:rPr>
        <w:rFonts w:ascii="Wingdings" w:hAnsi="Wingdings" w:hint="default"/>
      </w:rPr>
    </w:lvl>
    <w:lvl w:ilvl="6" w:tplc="30EC5394" w:tentative="1">
      <w:start w:val="1"/>
      <w:numFmt w:val="bullet"/>
      <w:lvlText w:val=""/>
      <w:lvlJc w:val="left"/>
      <w:pPr>
        <w:tabs>
          <w:tab w:val="num" w:pos="5040"/>
        </w:tabs>
        <w:ind w:left="5040" w:hanging="360"/>
      </w:pPr>
      <w:rPr>
        <w:rFonts w:ascii="Wingdings" w:hAnsi="Wingdings" w:hint="default"/>
      </w:rPr>
    </w:lvl>
    <w:lvl w:ilvl="7" w:tplc="B4329A98" w:tentative="1">
      <w:start w:val="1"/>
      <w:numFmt w:val="bullet"/>
      <w:lvlText w:val=""/>
      <w:lvlJc w:val="left"/>
      <w:pPr>
        <w:tabs>
          <w:tab w:val="num" w:pos="5760"/>
        </w:tabs>
        <w:ind w:left="5760" w:hanging="360"/>
      </w:pPr>
      <w:rPr>
        <w:rFonts w:ascii="Wingdings" w:hAnsi="Wingdings" w:hint="default"/>
      </w:rPr>
    </w:lvl>
    <w:lvl w:ilvl="8" w:tplc="3F2A9EE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4325A7"/>
    <w:multiLevelType w:val="hybridMultilevel"/>
    <w:tmpl w:val="4BD6C014"/>
    <w:lvl w:ilvl="0" w:tplc="6450EEF8">
      <w:start w:val="1"/>
      <w:numFmt w:val="bullet"/>
      <w:lvlText w:val=""/>
      <w:lvlJc w:val="left"/>
      <w:pPr>
        <w:ind w:left="720" w:hanging="360"/>
      </w:pPr>
      <w:rPr>
        <w:rFonts w:ascii="Symbol" w:hAnsi="Symbol" w:hint="default"/>
      </w:rPr>
    </w:lvl>
    <w:lvl w:ilvl="1" w:tplc="59068DAA" w:tentative="1">
      <w:start w:val="1"/>
      <w:numFmt w:val="bullet"/>
      <w:lvlText w:val="o"/>
      <w:lvlJc w:val="left"/>
      <w:pPr>
        <w:ind w:left="1440" w:hanging="360"/>
      </w:pPr>
      <w:rPr>
        <w:rFonts w:ascii="Courier New" w:hAnsi="Courier New" w:cs="Courier New" w:hint="default"/>
      </w:rPr>
    </w:lvl>
    <w:lvl w:ilvl="2" w:tplc="3BE405F0" w:tentative="1">
      <w:start w:val="1"/>
      <w:numFmt w:val="bullet"/>
      <w:lvlText w:val=""/>
      <w:lvlJc w:val="left"/>
      <w:pPr>
        <w:ind w:left="2160" w:hanging="360"/>
      </w:pPr>
      <w:rPr>
        <w:rFonts w:ascii="Wingdings" w:hAnsi="Wingdings" w:hint="default"/>
      </w:rPr>
    </w:lvl>
    <w:lvl w:ilvl="3" w:tplc="2FBE0A9A" w:tentative="1">
      <w:start w:val="1"/>
      <w:numFmt w:val="bullet"/>
      <w:lvlText w:val=""/>
      <w:lvlJc w:val="left"/>
      <w:pPr>
        <w:ind w:left="2880" w:hanging="360"/>
      </w:pPr>
      <w:rPr>
        <w:rFonts w:ascii="Symbol" w:hAnsi="Symbol" w:hint="default"/>
      </w:rPr>
    </w:lvl>
    <w:lvl w:ilvl="4" w:tplc="039CB686" w:tentative="1">
      <w:start w:val="1"/>
      <w:numFmt w:val="bullet"/>
      <w:lvlText w:val="o"/>
      <w:lvlJc w:val="left"/>
      <w:pPr>
        <w:ind w:left="3600" w:hanging="360"/>
      </w:pPr>
      <w:rPr>
        <w:rFonts w:ascii="Courier New" w:hAnsi="Courier New" w:cs="Courier New" w:hint="default"/>
      </w:rPr>
    </w:lvl>
    <w:lvl w:ilvl="5" w:tplc="BA68D3C8" w:tentative="1">
      <w:start w:val="1"/>
      <w:numFmt w:val="bullet"/>
      <w:lvlText w:val=""/>
      <w:lvlJc w:val="left"/>
      <w:pPr>
        <w:ind w:left="4320" w:hanging="360"/>
      </w:pPr>
      <w:rPr>
        <w:rFonts w:ascii="Wingdings" w:hAnsi="Wingdings" w:hint="default"/>
      </w:rPr>
    </w:lvl>
    <w:lvl w:ilvl="6" w:tplc="1714AEE8" w:tentative="1">
      <w:start w:val="1"/>
      <w:numFmt w:val="bullet"/>
      <w:lvlText w:val=""/>
      <w:lvlJc w:val="left"/>
      <w:pPr>
        <w:ind w:left="5040" w:hanging="360"/>
      </w:pPr>
      <w:rPr>
        <w:rFonts w:ascii="Symbol" w:hAnsi="Symbol" w:hint="default"/>
      </w:rPr>
    </w:lvl>
    <w:lvl w:ilvl="7" w:tplc="6A38878A" w:tentative="1">
      <w:start w:val="1"/>
      <w:numFmt w:val="bullet"/>
      <w:lvlText w:val="o"/>
      <w:lvlJc w:val="left"/>
      <w:pPr>
        <w:ind w:left="5760" w:hanging="360"/>
      </w:pPr>
      <w:rPr>
        <w:rFonts w:ascii="Courier New" w:hAnsi="Courier New" w:cs="Courier New" w:hint="default"/>
      </w:rPr>
    </w:lvl>
    <w:lvl w:ilvl="8" w:tplc="51D610FA" w:tentative="1">
      <w:start w:val="1"/>
      <w:numFmt w:val="bullet"/>
      <w:lvlText w:val=""/>
      <w:lvlJc w:val="left"/>
      <w:pPr>
        <w:ind w:left="6480" w:hanging="360"/>
      </w:pPr>
      <w:rPr>
        <w:rFonts w:ascii="Wingdings" w:hAnsi="Wingdings" w:hint="default"/>
      </w:rPr>
    </w:lvl>
  </w:abstractNum>
  <w:abstractNum w:abstractNumId="19" w15:restartNumberingAfterBreak="0">
    <w:nsid w:val="64C5318F"/>
    <w:multiLevelType w:val="hybridMultilevel"/>
    <w:tmpl w:val="D8F60618"/>
    <w:lvl w:ilvl="0" w:tplc="3CEEF69A">
      <w:start w:val="1"/>
      <w:numFmt w:val="bullet"/>
      <w:lvlText w:val=""/>
      <w:lvlJc w:val="left"/>
      <w:pPr>
        <w:ind w:left="720" w:hanging="360"/>
      </w:pPr>
      <w:rPr>
        <w:rFonts w:ascii="Symbol" w:hAnsi="Symbol" w:hint="default"/>
      </w:rPr>
    </w:lvl>
    <w:lvl w:ilvl="1" w:tplc="FD0A0D74">
      <w:start w:val="1"/>
      <w:numFmt w:val="bullet"/>
      <w:lvlText w:val="o"/>
      <w:lvlJc w:val="left"/>
      <w:pPr>
        <w:ind w:left="1440" w:hanging="360"/>
      </w:pPr>
      <w:rPr>
        <w:rFonts w:ascii="Courier New" w:hAnsi="Courier New" w:cs="Courier New" w:hint="default"/>
      </w:rPr>
    </w:lvl>
    <w:lvl w:ilvl="2" w:tplc="82B27870">
      <w:start w:val="1"/>
      <w:numFmt w:val="bullet"/>
      <w:lvlText w:val=""/>
      <w:lvlJc w:val="left"/>
      <w:pPr>
        <w:ind w:left="2160" w:hanging="360"/>
      </w:pPr>
      <w:rPr>
        <w:rFonts w:ascii="Wingdings" w:hAnsi="Wingdings" w:hint="default"/>
      </w:rPr>
    </w:lvl>
    <w:lvl w:ilvl="3" w:tplc="E384F624">
      <w:start w:val="1"/>
      <w:numFmt w:val="bullet"/>
      <w:lvlText w:val=""/>
      <w:lvlJc w:val="left"/>
      <w:pPr>
        <w:ind w:left="2880" w:hanging="360"/>
      </w:pPr>
      <w:rPr>
        <w:rFonts w:ascii="Symbol" w:hAnsi="Symbol" w:hint="default"/>
      </w:rPr>
    </w:lvl>
    <w:lvl w:ilvl="4" w:tplc="691A81B6">
      <w:start w:val="1"/>
      <w:numFmt w:val="bullet"/>
      <w:lvlText w:val="o"/>
      <w:lvlJc w:val="left"/>
      <w:pPr>
        <w:ind w:left="3600" w:hanging="360"/>
      </w:pPr>
      <w:rPr>
        <w:rFonts w:ascii="Courier New" w:hAnsi="Courier New" w:cs="Courier New" w:hint="default"/>
      </w:rPr>
    </w:lvl>
    <w:lvl w:ilvl="5" w:tplc="A8DEE606">
      <w:start w:val="1"/>
      <w:numFmt w:val="bullet"/>
      <w:lvlText w:val=""/>
      <w:lvlJc w:val="left"/>
      <w:pPr>
        <w:ind w:left="4320" w:hanging="360"/>
      </w:pPr>
      <w:rPr>
        <w:rFonts w:ascii="Wingdings" w:hAnsi="Wingdings" w:hint="default"/>
      </w:rPr>
    </w:lvl>
    <w:lvl w:ilvl="6" w:tplc="1C008EC2">
      <w:start w:val="1"/>
      <w:numFmt w:val="bullet"/>
      <w:lvlText w:val=""/>
      <w:lvlJc w:val="left"/>
      <w:pPr>
        <w:ind w:left="5040" w:hanging="360"/>
      </w:pPr>
      <w:rPr>
        <w:rFonts w:ascii="Symbol" w:hAnsi="Symbol" w:hint="default"/>
      </w:rPr>
    </w:lvl>
    <w:lvl w:ilvl="7" w:tplc="49A0FB74">
      <w:start w:val="1"/>
      <w:numFmt w:val="bullet"/>
      <w:lvlText w:val="o"/>
      <w:lvlJc w:val="left"/>
      <w:pPr>
        <w:ind w:left="5760" w:hanging="360"/>
      </w:pPr>
      <w:rPr>
        <w:rFonts w:ascii="Courier New" w:hAnsi="Courier New" w:cs="Courier New" w:hint="default"/>
      </w:rPr>
    </w:lvl>
    <w:lvl w:ilvl="8" w:tplc="3FB22062">
      <w:start w:val="1"/>
      <w:numFmt w:val="bullet"/>
      <w:lvlText w:val=""/>
      <w:lvlJc w:val="left"/>
      <w:pPr>
        <w:ind w:left="6480" w:hanging="360"/>
      </w:pPr>
      <w:rPr>
        <w:rFonts w:ascii="Wingdings" w:hAnsi="Wingdings" w:hint="default"/>
      </w:rPr>
    </w:lvl>
  </w:abstractNum>
  <w:abstractNum w:abstractNumId="20" w15:restartNumberingAfterBreak="0">
    <w:nsid w:val="6CE266C6"/>
    <w:multiLevelType w:val="hybridMultilevel"/>
    <w:tmpl w:val="7602B57C"/>
    <w:lvl w:ilvl="0" w:tplc="E1D43CA8">
      <w:start w:val="5"/>
      <w:numFmt w:val="bullet"/>
      <w:lvlText w:val="-"/>
      <w:lvlJc w:val="left"/>
      <w:pPr>
        <w:ind w:left="720" w:hanging="360"/>
      </w:pPr>
      <w:rPr>
        <w:rFonts w:ascii="Times New Roman" w:eastAsia="Times New Roman" w:hAnsi="Times New Roman" w:cs="Times New Roman" w:hint="default"/>
      </w:rPr>
    </w:lvl>
    <w:lvl w:ilvl="1" w:tplc="6E9CB6EA" w:tentative="1">
      <w:start w:val="1"/>
      <w:numFmt w:val="bullet"/>
      <w:lvlText w:val="o"/>
      <w:lvlJc w:val="left"/>
      <w:pPr>
        <w:ind w:left="1440" w:hanging="360"/>
      </w:pPr>
      <w:rPr>
        <w:rFonts w:ascii="Courier New" w:hAnsi="Courier New" w:cs="Courier New" w:hint="default"/>
      </w:rPr>
    </w:lvl>
    <w:lvl w:ilvl="2" w:tplc="AE34AFCC" w:tentative="1">
      <w:start w:val="1"/>
      <w:numFmt w:val="bullet"/>
      <w:lvlText w:val=""/>
      <w:lvlJc w:val="left"/>
      <w:pPr>
        <w:ind w:left="2160" w:hanging="360"/>
      </w:pPr>
      <w:rPr>
        <w:rFonts w:ascii="Wingdings" w:hAnsi="Wingdings" w:hint="default"/>
      </w:rPr>
    </w:lvl>
    <w:lvl w:ilvl="3" w:tplc="B9CE86DE" w:tentative="1">
      <w:start w:val="1"/>
      <w:numFmt w:val="bullet"/>
      <w:lvlText w:val=""/>
      <w:lvlJc w:val="left"/>
      <w:pPr>
        <w:ind w:left="2880" w:hanging="360"/>
      </w:pPr>
      <w:rPr>
        <w:rFonts w:ascii="Symbol" w:hAnsi="Symbol" w:hint="default"/>
      </w:rPr>
    </w:lvl>
    <w:lvl w:ilvl="4" w:tplc="93721642" w:tentative="1">
      <w:start w:val="1"/>
      <w:numFmt w:val="bullet"/>
      <w:lvlText w:val="o"/>
      <w:lvlJc w:val="left"/>
      <w:pPr>
        <w:ind w:left="3600" w:hanging="360"/>
      </w:pPr>
      <w:rPr>
        <w:rFonts w:ascii="Courier New" w:hAnsi="Courier New" w:cs="Courier New" w:hint="default"/>
      </w:rPr>
    </w:lvl>
    <w:lvl w:ilvl="5" w:tplc="4DDC4D0E" w:tentative="1">
      <w:start w:val="1"/>
      <w:numFmt w:val="bullet"/>
      <w:lvlText w:val=""/>
      <w:lvlJc w:val="left"/>
      <w:pPr>
        <w:ind w:left="4320" w:hanging="360"/>
      </w:pPr>
      <w:rPr>
        <w:rFonts w:ascii="Wingdings" w:hAnsi="Wingdings" w:hint="default"/>
      </w:rPr>
    </w:lvl>
    <w:lvl w:ilvl="6" w:tplc="95520908" w:tentative="1">
      <w:start w:val="1"/>
      <w:numFmt w:val="bullet"/>
      <w:lvlText w:val=""/>
      <w:lvlJc w:val="left"/>
      <w:pPr>
        <w:ind w:left="5040" w:hanging="360"/>
      </w:pPr>
      <w:rPr>
        <w:rFonts w:ascii="Symbol" w:hAnsi="Symbol" w:hint="default"/>
      </w:rPr>
    </w:lvl>
    <w:lvl w:ilvl="7" w:tplc="C298C494" w:tentative="1">
      <w:start w:val="1"/>
      <w:numFmt w:val="bullet"/>
      <w:lvlText w:val="o"/>
      <w:lvlJc w:val="left"/>
      <w:pPr>
        <w:ind w:left="5760" w:hanging="360"/>
      </w:pPr>
      <w:rPr>
        <w:rFonts w:ascii="Courier New" w:hAnsi="Courier New" w:cs="Courier New" w:hint="default"/>
      </w:rPr>
    </w:lvl>
    <w:lvl w:ilvl="8" w:tplc="0184A744" w:tentative="1">
      <w:start w:val="1"/>
      <w:numFmt w:val="bullet"/>
      <w:lvlText w:val=""/>
      <w:lvlJc w:val="left"/>
      <w:pPr>
        <w:ind w:left="6480" w:hanging="360"/>
      </w:pPr>
      <w:rPr>
        <w:rFonts w:ascii="Wingdings" w:hAnsi="Wingdings" w:hint="default"/>
      </w:rPr>
    </w:lvl>
  </w:abstractNum>
  <w:abstractNum w:abstractNumId="21" w15:restartNumberingAfterBreak="0">
    <w:nsid w:val="72E03A22"/>
    <w:multiLevelType w:val="hybridMultilevel"/>
    <w:tmpl w:val="B0D68922"/>
    <w:lvl w:ilvl="0" w:tplc="644C3768">
      <w:start w:val="1"/>
      <w:numFmt w:val="decimal"/>
      <w:lvlText w:val="%1."/>
      <w:lvlJc w:val="left"/>
      <w:pPr>
        <w:ind w:left="720" w:hanging="360"/>
      </w:pPr>
      <w:rPr>
        <w:rFonts w:cs="Times New Roman"/>
      </w:rPr>
    </w:lvl>
    <w:lvl w:ilvl="1" w:tplc="08223CAE" w:tentative="1">
      <w:start w:val="1"/>
      <w:numFmt w:val="lowerLetter"/>
      <w:lvlText w:val="%2."/>
      <w:lvlJc w:val="left"/>
      <w:pPr>
        <w:ind w:left="1440" w:hanging="360"/>
      </w:pPr>
      <w:rPr>
        <w:rFonts w:cs="Times New Roman"/>
      </w:rPr>
    </w:lvl>
    <w:lvl w:ilvl="2" w:tplc="555C0B02" w:tentative="1">
      <w:start w:val="1"/>
      <w:numFmt w:val="lowerRoman"/>
      <w:lvlText w:val="%3."/>
      <w:lvlJc w:val="right"/>
      <w:pPr>
        <w:ind w:left="2160" w:hanging="180"/>
      </w:pPr>
      <w:rPr>
        <w:rFonts w:cs="Times New Roman"/>
      </w:rPr>
    </w:lvl>
    <w:lvl w:ilvl="3" w:tplc="ADBEF478" w:tentative="1">
      <w:start w:val="1"/>
      <w:numFmt w:val="decimal"/>
      <w:lvlText w:val="%4."/>
      <w:lvlJc w:val="left"/>
      <w:pPr>
        <w:ind w:left="2880" w:hanging="360"/>
      </w:pPr>
      <w:rPr>
        <w:rFonts w:cs="Times New Roman"/>
      </w:rPr>
    </w:lvl>
    <w:lvl w:ilvl="4" w:tplc="5A7A7EE2" w:tentative="1">
      <w:start w:val="1"/>
      <w:numFmt w:val="lowerLetter"/>
      <w:lvlText w:val="%5."/>
      <w:lvlJc w:val="left"/>
      <w:pPr>
        <w:ind w:left="3600" w:hanging="360"/>
      </w:pPr>
      <w:rPr>
        <w:rFonts w:cs="Times New Roman"/>
      </w:rPr>
    </w:lvl>
    <w:lvl w:ilvl="5" w:tplc="239ED720" w:tentative="1">
      <w:start w:val="1"/>
      <w:numFmt w:val="lowerRoman"/>
      <w:lvlText w:val="%6."/>
      <w:lvlJc w:val="right"/>
      <w:pPr>
        <w:ind w:left="4320" w:hanging="180"/>
      </w:pPr>
      <w:rPr>
        <w:rFonts w:cs="Times New Roman"/>
      </w:rPr>
    </w:lvl>
    <w:lvl w:ilvl="6" w:tplc="9ED6E47C" w:tentative="1">
      <w:start w:val="1"/>
      <w:numFmt w:val="decimal"/>
      <w:lvlText w:val="%7."/>
      <w:lvlJc w:val="left"/>
      <w:pPr>
        <w:ind w:left="5040" w:hanging="360"/>
      </w:pPr>
      <w:rPr>
        <w:rFonts w:cs="Times New Roman"/>
      </w:rPr>
    </w:lvl>
    <w:lvl w:ilvl="7" w:tplc="EE5CF970" w:tentative="1">
      <w:start w:val="1"/>
      <w:numFmt w:val="lowerLetter"/>
      <w:lvlText w:val="%8."/>
      <w:lvlJc w:val="left"/>
      <w:pPr>
        <w:ind w:left="5760" w:hanging="360"/>
      </w:pPr>
      <w:rPr>
        <w:rFonts w:cs="Times New Roman"/>
      </w:rPr>
    </w:lvl>
    <w:lvl w:ilvl="8" w:tplc="05E229EC" w:tentative="1">
      <w:start w:val="1"/>
      <w:numFmt w:val="lowerRoman"/>
      <w:lvlText w:val="%9."/>
      <w:lvlJc w:val="right"/>
      <w:pPr>
        <w:ind w:left="6480" w:hanging="180"/>
      </w:pPr>
      <w:rPr>
        <w:rFonts w:cs="Times New Roman"/>
      </w:rPr>
    </w:lvl>
  </w:abstractNum>
  <w:abstractNum w:abstractNumId="22" w15:restartNumberingAfterBreak="0">
    <w:nsid w:val="7D796EAC"/>
    <w:multiLevelType w:val="hybridMultilevel"/>
    <w:tmpl w:val="0F128120"/>
    <w:lvl w:ilvl="0" w:tplc="7AB60912">
      <w:start w:val="1"/>
      <w:numFmt w:val="decimal"/>
      <w:lvlText w:val="%1."/>
      <w:lvlJc w:val="left"/>
      <w:pPr>
        <w:ind w:left="720" w:hanging="360"/>
      </w:pPr>
      <w:rPr>
        <w:rFonts w:cs="Times New Roman"/>
      </w:rPr>
    </w:lvl>
    <w:lvl w:ilvl="1" w:tplc="307EC17A" w:tentative="1">
      <w:start w:val="1"/>
      <w:numFmt w:val="lowerLetter"/>
      <w:lvlText w:val="%2."/>
      <w:lvlJc w:val="left"/>
      <w:pPr>
        <w:ind w:left="1440" w:hanging="360"/>
      </w:pPr>
      <w:rPr>
        <w:rFonts w:cs="Times New Roman"/>
      </w:rPr>
    </w:lvl>
    <w:lvl w:ilvl="2" w:tplc="14882838" w:tentative="1">
      <w:start w:val="1"/>
      <w:numFmt w:val="lowerRoman"/>
      <w:lvlText w:val="%3."/>
      <w:lvlJc w:val="right"/>
      <w:pPr>
        <w:ind w:left="2160" w:hanging="180"/>
      </w:pPr>
      <w:rPr>
        <w:rFonts w:cs="Times New Roman"/>
      </w:rPr>
    </w:lvl>
    <w:lvl w:ilvl="3" w:tplc="49664290" w:tentative="1">
      <w:start w:val="1"/>
      <w:numFmt w:val="decimal"/>
      <w:lvlText w:val="%4."/>
      <w:lvlJc w:val="left"/>
      <w:pPr>
        <w:ind w:left="2880" w:hanging="360"/>
      </w:pPr>
      <w:rPr>
        <w:rFonts w:cs="Times New Roman"/>
      </w:rPr>
    </w:lvl>
    <w:lvl w:ilvl="4" w:tplc="1C5A1906" w:tentative="1">
      <w:start w:val="1"/>
      <w:numFmt w:val="lowerLetter"/>
      <w:lvlText w:val="%5."/>
      <w:lvlJc w:val="left"/>
      <w:pPr>
        <w:ind w:left="3600" w:hanging="360"/>
      </w:pPr>
      <w:rPr>
        <w:rFonts w:cs="Times New Roman"/>
      </w:rPr>
    </w:lvl>
    <w:lvl w:ilvl="5" w:tplc="7DF822EC" w:tentative="1">
      <w:start w:val="1"/>
      <w:numFmt w:val="lowerRoman"/>
      <w:lvlText w:val="%6."/>
      <w:lvlJc w:val="right"/>
      <w:pPr>
        <w:ind w:left="4320" w:hanging="180"/>
      </w:pPr>
      <w:rPr>
        <w:rFonts w:cs="Times New Roman"/>
      </w:rPr>
    </w:lvl>
    <w:lvl w:ilvl="6" w:tplc="123AA032" w:tentative="1">
      <w:start w:val="1"/>
      <w:numFmt w:val="decimal"/>
      <w:lvlText w:val="%7."/>
      <w:lvlJc w:val="left"/>
      <w:pPr>
        <w:ind w:left="5040" w:hanging="360"/>
      </w:pPr>
      <w:rPr>
        <w:rFonts w:cs="Times New Roman"/>
      </w:rPr>
    </w:lvl>
    <w:lvl w:ilvl="7" w:tplc="16EA8FBA" w:tentative="1">
      <w:start w:val="1"/>
      <w:numFmt w:val="lowerLetter"/>
      <w:lvlText w:val="%8."/>
      <w:lvlJc w:val="left"/>
      <w:pPr>
        <w:ind w:left="5760" w:hanging="360"/>
      </w:pPr>
      <w:rPr>
        <w:rFonts w:cs="Times New Roman"/>
      </w:rPr>
    </w:lvl>
    <w:lvl w:ilvl="8" w:tplc="66205518" w:tentative="1">
      <w:start w:val="1"/>
      <w:numFmt w:val="lowerRoman"/>
      <w:lvlText w:val="%9."/>
      <w:lvlJc w:val="right"/>
      <w:pPr>
        <w:ind w:left="6480" w:hanging="180"/>
      </w:pPr>
      <w:rPr>
        <w:rFonts w:cs="Times New Roman"/>
      </w:rPr>
    </w:lvl>
  </w:abstractNum>
  <w:num w:numId="1" w16cid:durableId="375280893">
    <w:abstractNumId w:val="21"/>
  </w:num>
  <w:num w:numId="2" w16cid:durableId="2060471198">
    <w:abstractNumId w:val="3"/>
  </w:num>
  <w:num w:numId="3" w16cid:durableId="356004068">
    <w:abstractNumId w:val="22"/>
  </w:num>
  <w:num w:numId="4" w16cid:durableId="529732528">
    <w:abstractNumId w:val="9"/>
  </w:num>
  <w:num w:numId="5" w16cid:durableId="21151291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75085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27677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3248949">
    <w:abstractNumId w:val="8"/>
  </w:num>
  <w:num w:numId="9" w16cid:durableId="57751599">
    <w:abstractNumId w:val="10"/>
  </w:num>
  <w:num w:numId="10" w16cid:durableId="1201742808">
    <w:abstractNumId w:val="5"/>
  </w:num>
  <w:num w:numId="11" w16cid:durableId="1890267074">
    <w:abstractNumId w:val="2"/>
  </w:num>
  <w:num w:numId="12" w16cid:durableId="779910828">
    <w:abstractNumId w:val="11"/>
  </w:num>
  <w:num w:numId="13" w16cid:durableId="742916279">
    <w:abstractNumId w:val="12"/>
  </w:num>
  <w:num w:numId="14" w16cid:durableId="140971110">
    <w:abstractNumId w:val="19"/>
  </w:num>
  <w:num w:numId="15" w16cid:durableId="629358682">
    <w:abstractNumId w:val="7"/>
  </w:num>
  <w:num w:numId="16" w16cid:durableId="1346327246">
    <w:abstractNumId w:val="20"/>
  </w:num>
  <w:num w:numId="17" w16cid:durableId="976178679">
    <w:abstractNumId w:val="0"/>
  </w:num>
  <w:num w:numId="18" w16cid:durableId="142892610">
    <w:abstractNumId w:val="16"/>
  </w:num>
  <w:num w:numId="19" w16cid:durableId="2007439180">
    <w:abstractNumId w:val="4"/>
  </w:num>
  <w:num w:numId="20" w16cid:durableId="82146679">
    <w:abstractNumId w:val="13"/>
  </w:num>
  <w:num w:numId="21" w16cid:durableId="1678921009">
    <w:abstractNumId w:val="1"/>
  </w:num>
  <w:num w:numId="22" w16cid:durableId="332799590">
    <w:abstractNumId w:val="18"/>
  </w:num>
  <w:num w:numId="23" w16cid:durableId="1437169837">
    <w:abstractNumId w:val="14"/>
  </w:num>
  <w:num w:numId="24" w16cid:durableId="510216216">
    <w:abstractNumId w:val="17"/>
  </w:num>
  <w:num w:numId="25" w16cid:durableId="268052927">
    <w:abstractNumId w:val="6"/>
  </w:num>
  <w:num w:numId="26" w16cid:durableId="5135422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032"/>
    <w:rsid w:val="000008B2"/>
    <w:rsid w:val="00001A8A"/>
    <w:rsid w:val="000033E7"/>
    <w:rsid w:val="00007000"/>
    <w:rsid w:val="00012C0E"/>
    <w:rsid w:val="00013326"/>
    <w:rsid w:val="00013A2D"/>
    <w:rsid w:val="0001436D"/>
    <w:rsid w:val="000258E1"/>
    <w:rsid w:val="00030E79"/>
    <w:rsid w:val="00040A83"/>
    <w:rsid w:val="00047819"/>
    <w:rsid w:val="000545A7"/>
    <w:rsid w:val="00054ADC"/>
    <w:rsid w:val="0005636B"/>
    <w:rsid w:val="00056E11"/>
    <w:rsid w:val="0005753D"/>
    <w:rsid w:val="00057822"/>
    <w:rsid w:val="0006055B"/>
    <w:rsid w:val="00071542"/>
    <w:rsid w:val="0007281F"/>
    <w:rsid w:val="00072ADA"/>
    <w:rsid w:val="000734B7"/>
    <w:rsid w:val="00073F1D"/>
    <w:rsid w:val="00075A71"/>
    <w:rsid w:val="000857E5"/>
    <w:rsid w:val="00087BA7"/>
    <w:rsid w:val="00090B78"/>
    <w:rsid w:val="00094090"/>
    <w:rsid w:val="0009743F"/>
    <w:rsid w:val="000A78A2"/>
    <w:rsid w:val="000B0F94"/>
    <w:rsid w:val="000B4DB1"/>
    <w:rsid w:val="000C141B"/>
    <w:rsid w:val="000C4403"/>
    <w:rsid w:val="000C66CD"/>
    <w:rsid w:val="000C6A56"/>
    <w:rsid w:val="000D44DB"/>
    <w:rsid w:val="000E303F"/>
    <w:rsid w:val="000E41A0"/>
    <w:rsid w:val="000E4689"/>
    <w:rsid w:val="000E63A5"/>
    <w:rsid w:val="000E7ED9"/>
    <w:rsid w:val="000F1000"/>
    <w:rsid w:val="000F13BB"/>
    <w:rsid w:val="000F5030"/>
    <w:rsid w:val="000F79F1"/>
    <w:rsid w:val="00101702"/>
    <w:rsid w:val="001062D3"/>
    <w:rsid w:val="001075FC"/>
    <w:rsid w:val="00107D4F"/>
    <w:rsid w:val="001126E1"/>
    <w:rsid w:val="00131719"/>
    <w:rsid w:val="00144E93"/>
    <w:rsid w:val="00150ECC"/>
    <w:rsid w:val="00151278"/>
    <w:rsid w:val="00151500"/>
    <w:rsid w:val="00151CD4"/>
    <w:rsid w:val="00153469"/>
    <w:rsid w:val="00166172"/>
    <w:rsid w:val="00166258"/>
    <w:rsid w:val="00174ABC"/>
    <w:rsid w:val="0018401C"/>
    <w:rsid w:val="00184320"/>
    <w:rsid w:val="00187CA0"/>
    <w:rsid w:val="00191796"/>
    <w:rsid w:val="001943B5"/>
    <w:rsid w:val="001955BC"/>
    <w:rsid w:val="001A1C76"/>
    <w:rsid w:val="001A4F64"/>
    <w:rsid w:val="001A54C6"/>
    <w:rsid w:val="001A71CF"/>
    <w:rsid w:val="001B02C4"/>
    <w:rsid w:val="001B1673"/>
    <w:rsid w:val="001C00ED"/>
    <w:rsid w:val="001C121A"/>
    <w:rsid w:val="001C34C0"/>
    <w:rsid w:val="001D181B"/>
    <w:rsid w:val="001D1AA9"/>
    <w:rsid w:val="001D4D4E"/>
    <w:rsid w:val="001E29B1"/>
    <w:rsid w:val="001E4371"/>
    <w:rsid w:val="001F066E"/>
    <w:rsid w:val="001F260D"/>
    <w:rsid w:val="001F6289"/>
    <w:rsid w:val="001F7DAB"/>
    <w:rsid w:val="00200234"/>
    <w:rsid w:val="00204CAF"/>
    <w:rsid w:val="00207DDD"/>
    <w:rsid w:val="00215127"/>
    <w:rsid w:val="00215721"/>
    <w:rsid w:val="002231A5"/>
    <w:rsid w:val="00234E05"/>
    <w:rsid w:val="002525FB"/>
    <w:rsid w:val="00253DFD"/>
    <w:rsid w:val="00255ECE"/>
    <w:rsid w:val="00257980"/>
    <w:rsid w:val="0026053B"/>
    <w:rsid w:val="00264AA0"/>
    <w:rsid w:val="00265545"/>
    <w:rsid w:val="00265687"/>
    <w:rsid w:val="00265D0B"/>
    <w:rsid w:val="00274E9F"/>
    <w:rsid w:val="0027575F"/>
    <w:rsid w:val="00281904"/>
    <w:rsid w:val="002858DF"/>
    <w:rsid w:val="00286FEC"/>
    <w:rsid w:val="00287EB3"/>
    <w:rsid w:val="00295978"/>
    <w:rsid w:val="0029740E"/>
    <w:rsid w:val="002A7C5C"/>
    <w:rsid w:val="002B2F87"/>
    <w:rsid w:val="002C3AEE"/>
    <w:rsid w:val="002C4D53"/>
    <w:rsid w:val="002C51F9"/>
    <w:rsid w:val="002C7431"/>
    <w:rsid w:val="002D0120"/>
    <w:rsid w:val="002D391B"/>
    <w:rsid w:val="002E09F2"/>
    <w:rsid w:val="002E5262"/>
    <w:rsid w:val="002F1486"/>
    <w:rsid w:val="002F1F8E"/>
    <w:rsid w:val="003073F2"/>
    <w:rsid w:val="00312643"/>
    <w:rsid w:val="00313E73"/>
    <w:rsid w:val="0032209A"/>
    <w:rsid w:val="0033239C"/>
    <w:rsid w:val="00332F62"/>
    <w:rsid w:val="00340FE0"/>
    <w:rsid w:val="00342370"/>
    <w:rsid w:val="003426E7"/>
    <w:rsid w:val="00351436"/>
    <w:rsid w:val="00353092"/>
    <w:rsid w:val="00354CDC"/>
    <w:rsid w:val="00355DC5"/>
    <w:rsid w:val="00357067"/>
    <w:rsid w:val="0036558D"/>
    <w:rsid w:val="00366AE3"/>
    <w:rsid w:val="00373D8F"/>
    <w:rsid w:val="00376819"/>
    <w:rsid w:val="003801C4"/>
    <w:rsid w:val="00381540"/>
    <w:rsid w:val="00383995"/>
    <w:rsid w:val="003848E3"/>
    <w:rsid w:val="00390DD1"/>
    <w:rsid w:val="0039630C"/>
    <w:rsid w:val="003A2B03"/>
    <w:rsid w:val="003A4016"/>
    <w:rsid w:val="003A73FB"/>
    <w:rsid w:val="003B5007"/>
    <w:rsid w:val="003C008A"/>
    <w:rsid w:val="003C15E7"/>
    <w:rsid w:val="003C6B80"/>
    <w:rsid w:val="003D1970"/>
    <w:rsid w:val="003D68EA"/>
    <w:rsid w:val="003E1355"/>
    <w:rsid w:val="003E1B12"/>
    <w:rsid w:val="003E2092"/>
    <w:rsid w:val="003E3421"/>
    <w:rsid w:val="003E4FB9"/>
    <w:rsid w:val="003E605B"/>
    <w:rsid w:val="003E699A"/>
    <w:rsid w:val="003F04A7"/>
    <w:rsid w:val="003F3FB0"/>
    <w:rsid w:val="003F51E5"/>
    <w:rsid w:val="003F7077"/>
    <w:rsid w:val="004037B3"/>
    <w:rsid w:val="00416398"/>
    <w:rsid w:val="00420794"/>
    <w:rsid w:val="004316C1"/>
    <w:rsid w:val="0043242F"/>
    <w:rsid w:val="00432A97"/>
    <w:rsid w:val="00434320"/>
    <w:rsid w:val="00437772"/>
    <w:rsid w:val="004378E3"/>
    <w:rsid w:val="00440958"/>
    <w:rsid w:val="00443DDF"/>
    <w:rsid w:val="00447ABC"/>
    <w:rsid w:val="004549D6"/>
    <w:rsid w:val="00455756"/>
    <w:rsid w:val="00464544"/>
    <w:rsid w:val="00464C4A"/>
    <w:rsid w:val="00466243"/>
    <w:rsid w:val="00470961"/>
    <w:rsid w:val="00470DEB"/>
    <w:rsid w:val="00470FEB"/>
    <w:rsid w:val="004736E4"/>
    <w:rsid w:val="004739D5"/>
    <w:rsid w:val="00480013"/>
    <w:rsid w:val="00480A31"/>
    <w:rsid w:val="0048235F"/>
    <w:rsid w:val="0048411C"/>
    <w:rsid w:val="004857D7"/>
    <w:rsid w:val="00485AA5"/>
    <w:rsid w:val="004A1A5D"/>
    <w:rsid w:val="004A6F0F"/>
    <w:rsid w:val="004A7D6B"/>
    <w:rsid w:val="004B2C2B"/>
    <w:rsid w:val="004B38B6"/>
    <w:rsid w:val="004B561B"/>
    <w:rsid w:val="004B671B"/>
    <w:rsid w:val="004C75A8"/>
    <w:rsid w:val="004C7D7E"/>
    <w:rsid w:val="004D4168"/>
    <w:rsid w:val="004D54A1"/>
    <w:rsid w:val="004E1B71"/>
    <w:rsid w:val="004E1EF7"/>
    <w:rsid w:val="004F14EC"/>
    <w:rsid w:val="004F50DC"/>
    <w:rsid w:val="004F62F9"/>
    <w:rsid w:val="00511987"/>
    <w:rsid w:val="00512601"/>
    <w:rsid w:val="00516F76"/>
    <w:rsid w:val="00524878"/>
    <w:rsid w:val="005264EB"/>
    <w:rsid w:val="005265C8"/>
    <w:rsid w:val="005309EE"/>
    <w:rsid w:val="0053125D"/>
    <w:rsid w:val="00531744"/>
    <w:rsid w:val="005330D9"/>
    <w:rsid w:val="00535C21"/>
    <w:rsid w:val="005360F6"/>
    <w:rsid w:val="00541CD7"/>
    <w:rsid w:val="0054291A"/>
    <w:rsid w:val="00542CD9"/>
    <w:rsid w:val="005465CD"/>
    <w:rsid w:val="00550B4A"/>
    <w:rsid w:val="00552E0C"/>
    <w:rsid w:val="00554138"/>
    <w:rsid w:val="00556295"/>
    <w:rsid w:val="00561375"/>
    <w:rsid w:val="005650A3"/>
    <w:rsid w:val="005652C6"/>
    <w:rsid w:val="00565697"/>
    <w:rsid w:val="005664A6"/>
    <w:rsid w:val="00570FDD"/>
    <w:rsid w:val="0057354A"/>
    <w:rsid w:val="00573D15"/>
    <w:rsid w:val="00584151"/>
    <w:rsid w:val="00584893"/>
    <w:rsid w:val="00590C41"/>
    <w:rsid w:val="00592EB1"/>
    <w:rsid w:val="005938B9"/>
    <w:rsid w:val="00595525"/>
    <w:rsid w:val="00595FDE"/>
    <w:rsid w:val="00596C92"/>
    <w:rsid w:val="00597A88"/>
    <w:rsid w:val="005A2714"/>
    <w:rsid w:val="005A30EB"/>
    <w:rsid w:val="005A3ED3"/>
    <w:rsid w:val="005A5E5D"/>
    <w:rsid w:val="005B3116"/>
    <w:rsid w:val="005B3492"/>
    <w:rsid w:val="005B7E54"/>
    <w:rsid w:val="005C21CB"/>
    <w:rsid w:val="005C43F3"/>
    <w:rsid w:val="005C7578"/>
    <w:rsid w:val="005D38AE"/>
    <w:rsid w:val="005D6473"/>
    <w:rsid w:val="005D66B9"/>
    <w:rsid w:val="005E151A"/>
    <w:rsid w:val="005E5653"/>
    <w:rsid w:val="005F1979"/>
    <w:rsid w:val="00600511"/>
    <w:rsid w:val="00600DA3"/>
    <w:rsid w:val="00615DAD"/>
    <w:rsid w:val="0062125F"/>
    <w:rsid w:val="0062489E"/>
    <w:rsid w:val="0062692E"/>
    <w:rsid w:val="006274C4"/>
    <w:rsid w:val="00631FEA"/>
    <w:rsid w:val="00635D28"/>
    <w:rsid w:val="00643AD6"/>
    <w:rsid w:val="00645E94"/>
    <w:rsid w:val="0064601D"/>
    <w:rsid w:val="00647013"/>
    <w:rsid w:val="00651309"/>
    <w:rsid w:val="006524CB"/>
    <w:rsid w:val="006650A9"/>
    <w:rsid w:val="00670B53"/>
    <w:rsid w:val="00672CAF"/>
    <w:rsid w:val="00672D49"/>
    <w:rsid w:val="00673D54"/>
    <w:rsid w:val="00675099"/>
    <w:rsid w:val="006756F2"/>
    <w:rsid w:val="006758CB"/>
    <w:rsid w:val="00675BAF"/>
    <w:rsid w:val="00676175"/>
    <w:rsid w:val="00676A7F"/>
    <w:rsid w:val="006772CC"/>
    <w:rsid w:val="00686752"/>
    <w:rsid w:val="00693693"/>
    <w:rsid w:val="00695362"/>
    <w:rsid w:val="006A0622"/>
    <w:rsid w:val="006A4BE6"/>
    <w:rsid w:val="006A605D"/>
    <w:rsid w:val="006A7BAB"/>
    <w:rsid w:val="006B3DE7"/>
    <w:rsid w:val="006B54EE"/>
    <w:rsid w:val="006B74B7"/>
    <w:rsid w:val="006C1572"/>
    <w:rsid w:val="006C5BA7"/>
    <w:rsid w:val="006D2E0A"/>
    <w:rsid w:val="006D75C7"/>
    <w:rsid w:val="006E575A"/>
    <w:rsid w:val="006E7255"/>
    <w:rsid w:val="006F0D79"/>
    <w:rsid w:val="006F671C"/>
    <w:rsid w:val="007025DE"/>
    <w:rsid w:val="00703E66"/>
    <w:rsid w:val="00704629"/>
    <w:rsid w:val="00704DBA"/>
    <w:rsid w:val="007050DF"/>
    <w:rsid w:val="007119AF"/>
    <w:rsid w:val="007130DC"/>
    <w:rsid w:val="00723B6D"/>
    <w:rsid w:val="007251F0"/>
    <w:rsid w:val="0073713F"/>
    <w:rsid w:val="0074066F"/>
    <w:rsid w:val="007458B8"/>
    <w:rsid w:val="00750248"/>
    <w:rsid w:val="007514F0"/>
    <w:rsid w:val="00752438"/>
    <w:rsid w:val="007534C3"/>
    <w:rsid w:val="0075490F"/>
    <w:rsid w:val="007625C9"/>
    <w:rsid w:val="00770DC1"/>
    <w:rsid w:val="00771621"/>
    <w:rsid w:val="00775077"/>
    <w:rsid w:val="00777C52"/>
    <w:rsid w:val="007800A7"/>
    <w:rsid w:val="007820C2"/>
    <w:rsid w:val="0079720C"/>
    <w:rsid w:val="007A070F"/>
    <w:rsid w:val="007A79E4"/>
    <w:rsid w:val="007B0962"/>
    <w:rsid w:val="007B1F97"/>
    <w:rsid w:val="007B2394"/>
    <w:rsid w:val="007B58D0"/>
    <w:rsid w:val="007B65C3"/>
    <w:rsid w:val="007C1619"/>
    <w:rsid w:val="007C3CC2"/>
    <w:rsid w:val="007C59DE"/>
    <w:rsid w:val="007D0546"/>
    <w:rsid w:val="007D4010"/>
    <w:rsid w:val="007D4DF4"/>
    <w:rsid w:val="007D50C6"/>
    <w:rsid w:val="007E1395"/>
    <w:rsid w:val="008003AD"/>
    <w:rsid w:val="00802660"/>
    <w:rsid w:val="00803986"/>
    <w:rsid w:val="008077CA"/>
    <w:rsid w:val="00815285"/>
    <w:rsid w:val="00823367"/>
    <w:rsid w:val="008233D8"/>
    <w:rsid w:val="00823A10"/>
    <w:rsid w:val="00826B3C"/>
    <w:rsid w:val="00827357"/>
    <w:rsid w:val="00831110"/>
    <w:rsid w:val="008336B0"/>
    <w:rsid w:val="00841755"/>
    <w:rsid w:val="00843148"/>
    <w:rsid w:val="008434FC"/>
    <w:rsid w:val="008515F0"/>
    <w:rsid w:val="00854B43"/>
    <w:rsid w:val="0085680B"/>
    <w:rsid w:val="008610F1"/>
    <w:rsid w:val="00872EF8"/>
    <w:rsid w:val="008807D0"/>
    <w:rsid w:val="00880B97"/>
    <w:rsid w:val="00881946"/>
    <w:rsid w:val="00887160"/>
    <w:rsid w:val="00892EFA"/>
    <w:rsid w:val="00893DFC"/>
    <w:rsid w:val="0089723E"/>
    <w:rsid w:val="0089776B"/>
    <w:rsid w:val="008A3AF9"/>
    <w:rsid w:val="008A732B"/>
    <w:rsid w:val="008B112C"/>
    <w:rsid w:val="008B14EC"/>
    <w:rsid w:val="008B3C93"/>
    <w:rsid w:val="008B5F05"/>
    <w:rsid w:val="008B68D0"/>
    <w:rsid w:val="008B6DBB"/>
    <w:rsid w:val="008C0221"/>
    <w:rsid w:val="008C06F0"/>
    <w:rsid w:val="008C3268"/>
    <w:rsid w:val="008C575F"/>
    <w:rsid w:val="008C6B3C"/>
    <w:rsid w:val="008D0C6C"/>
    <w:rsid w:val="008D6F30"/>
    <w:rsid w:val="008E0CC7"/>
    <w:rsid w:val="008E2F79"/>
    <w:rsid w:val="008E6310"/>
    <w:rsid w:val="00905965"/>
    <w:rsid w:val="00906EDA"/>
    <w:rsid w:val="00907BDB"/>
    <w:rsid w:val="00910BD5"/>
    <w:rsid w:val="00911462"/>
    <w:rsid w:val="009204EE"/>
    <w:rsid w:val="0092057A"/>
    <w:rsid w:val="0092087A"/>
    <w:rsid w:val="009224E4"/>
    <w:rsid w:val="00927C35"/>
    <w:rsid w:val="00935A62"/>
    <w:rsid w:val="00935CED"/>
    <w:rsid w:val="009369EA"/>
    <w:rsid w:val="0094317A"/>
    <w:rsid w:val="009476A1"/>
    <w:rsid w:val="0095276F"/>
    <w:rsid w:val="00952A83"/>
    <w:rsid w:val="009715FB"/>
    <w:rsid w:val="00971A8E"/>
    <w:rsid w:val="00980A83"/>
    <w:rsid w:val="0098143B"/>
    <w:rsid w:val="00985715"/>
    <w:rsid w:val="00986505"/>
    <w:rsid w:val="0099366F"/>
    <w:rsid w:val="0099401D"/>
    <w:rsid w:val="00997DF3"/>
    <w:rsid w:val="009A5B52"/>
    <w:rsid w:val="009A650C"/>
    <w:rsid w:val="009A70DC"/>
    <w:rsid w:val="009A7E40"/>
    <w:rsid w:val="009C3EB2"/>
    <w:rsid w:val="009D0A80"/>
    <w:rsid w:val="009D140E"/>
    <w:rsid w:val="009D6F1E"/>
    <w:rsid w:val="009E1D8A"/>
    <w:rsid w:val="009E7144"/>
    <w:rsid w:val="009E7152"/>
    <w:rsid w:val="009F06B6"/>
    <w:rsid w:val="00A03773"/>
    <w:rsid w:val="00A11651"/>
    <w:rsid w:val="00A1376B"/>
    <w:rsid w:val="00A21553"/>
    <w:rsid w:val="00A22347"/>
    <w:rsid w:val="00A24899"/>
    <w:rsid w:val="00A30EEB"/>
    <w:rsid w:val="00A363E4"/>
    <w:rsid w:val="00A401AC"/>
    <w:rsid w:val="00A428C9"/>
    <w:rsid w:val="00A430F6"/>
    <w:rsid w:val="00A505D0"/>
    <w:rsid w:val="00A51E46"/>
    <w:rsid w:val="00A52CA3"/>
    <w:rsid w:val="00A533A6"/>
    <w:rsid w:val="00A542C3"/>
    <w:rsid w:val="00A570C0"/>
    <w:rsid w:val="00A6391A"/>
    <w:rsid w:val="00A645A9"/>
    <w:rsid w:val="00A6713F"/>
    <w:rsid w:val="00A70544"/>
    <w:rsid w:val="00A72022"/>
    <w:rsid w:val="00A84844"/>
    <w:rsid w:val="00A8529F"/>
    <w:rsid w:val="00A90309"/>
    <w:rsid w:val="00A95D29"/>
    <w:rsid w:val="00A95ECD"/>
    <w:rsid w:val="00AA0C50"/>
    <w:rsid w:val="00AA3648"/>
    <w:rsid w:val="00AA3AF0"/>
    <w:rsid w:val="00AB5B63"/>
    <w:rsid w:val="00AC027B"/>
    <w:rsid w:val="00AC25A6"/>
    <w:rsid w:val="00AC2BDA"/>
    <w:rsid w:val="00AC581F"/>
    <w:rsid w:val="00AC5EE0"/>
    <w:rsid w:val="00AC613A"/>
    <w:rsid w:val="00AD0012"/>
    <w:rsid w:val="00AD0396"/>
    <w:rsid w:val="00AD0D9A"/>
    <w:rsid w:val="00AD3C3A"/>
    <w:rsid w:val="00AE2ECE"/>
    <w:rsid w:val="00AE6020"/>
    <w:rsid w:val="00AF21C7"/>
    <w:rsid w:val="00AF5EBE"/>
    <w:rsid w:val="00AF73A0"/>
    <w:rsid w:val="00B02533"/>
    <w:rsid w:val="00B20612"/>
    <w:rsid w:val="00B21674"/>
    <w:rsid w:val="00B23E3D"/>
    <w:rsid w:val="00B275AF"/>
    <w:rsid w:val="00B30032"/>
    <w:rsid w:val="00B362F1"/>
    <w:rsid w:val="00B37141"/>
    <w:rsid w:val="00B37DDF"/>
    <w:rsid w:val="00B37FB9"/>
    <w:rsid w:val="00B40F94"/>
    <w:rsid w:val="00B64EC1"/>
    <w:rsid w:val="00B66CDD"/>
    <w:rsid w:val="00B70EA8"/>
    <w:rsid w:val="00B72A68"/>
    <w:rsid w:val="00B80279"/>
    <w:rsid w:val="00B844BF"/>
    <w:rsid w:val="00B870EC"/>
    <w:rsid w:val="00B9386C"/>
    <w:rsid w:val="00BA07A9"/>
    <w:rsid w:val="00BA107E"/>
    <w:rsid w:val="00BA2AEA"/>
    <w:rsid w:val="00BA7E5A"/>
    <w:rsid w:val="00BB2A0F"/>
    <w:rsid w:val="00BB3935"/>
    <w:rsid w:val="00BB6571"/>
    <w:rsid w:val="00BC208C"/>
    <w:rsid w:val="00BC4EC8"/>
    <w:rsid w:val="00BC691F"/>
    <w:rsid w:val="00BD0996"/>
    <w:rsid w:val="00BD475F"/>
    <w:rsid w:val="00BD590A"/>
    <w:rsid w:val="00BE043E"/>
    <w:rsid w:val="00BE3028"/>
    <w:rsid w:val="00BF0392"/>
    <w:rsid w:val="00BF0BE3"/>
    <w:rsid w:val="00BF315C"/>
    <w:rsid w:val="00BF355C"/>
    <w:rsid w:val="00BF4BE7"/>
    <w:rsid w:val="00BF6768"/>
    <w:rsid w:val="00BF7C39"/>
    <w:rsid w:val="00C02E7D"/>
    <w:rsid w:val="00C114A9"/>
    <w:rsid w:val="00C17EFD"/>
    <w:rsid w:val="00C216E3"/>
    <w:rsid w:val="00C23375"/>
    <w:rsid w:val="00C255C5"/>
    <w:rsid w:val="00C26830"/>
    <w:rsid w:val="00C30E33"/>
    <w:rsid w:val="00C328CC"/>
    <w:rsid w:val="00C3475A"/>
    <w:rsid w:val="00C37A99"/>
    <w:rsid w:val="00C41A85"/>
    <w:rsid w:val="00C54E29"/>
    <w:rsid w:val="00C5560C"/>
    <w:rsid w:val="00C55F09"/>
    <w:rsid w:val="00C616BC"/>
    <w:rsid w:val="00C63DC5"/>
    <w:rsid w:val="00C655DC"/>
    <w:rsid w:val="00C70C0F"/>
    <w:rsid w:val="00C75523"/>
    <w:rsid w:val="00C849A9"/>
    <w:rsid w:val="00CA1010"/>
    <w:rsid w:val="00CA2648"/>
    <w:rsid w:val="00CA4DB8"/>
    <w:rsid w:val="00CA4F77"/>
    <w:rsid w:val="00CA5935"/>
    <w:rsid w:val="00CA74C0"/>
    <w:rsid w:val="00CB4512"/>
    <w:rsid w:val="00CB6BED"/>
    <w:rsid w:val="00CB7680"/>
    <w:rsid w:val="00CC0E59"/>
    <w:rsid w:val="00CC31CB"/>
    <w:rsid w:val="00CC3699"/>
    <w:rsid w:val="00CC7087"/>
    <w:rsid w:val="00CD46F6"/>
    <w:rsid w:val="00CD5271"/>
    <w:rsid w:val="00CD67DE"/>
    <w:rsid w:val="00CE1305"/>
    <w:rsid w:val="00CE1C5D"/>
    <w:rsid w:val="00CF0368"/>
    <w:rsid w:val="00CF2002"/>
    <w:rsid w:val="00CF757B"/>
    <w:rsid w:val="00D071DE"/>
    <w:rsid w:val="00D13088"/>
    <w:rsid w:val="00D17500"/>
    <w:rsid w:val="00D17B53"/>
    <w:rsid w:val="00D205AD"/>
    <w:rsid w:val="00D20EFB"/>
    <w:rsid w:val="00D22B66"/>
    <w:rsid w:val="00D24201"/>
    <w:rsid w:val="00D30E0B"/>
    <w:rsid w:val="00D34BE8"/>
    <w:rsid w:val="00D402FF"/>
    <w:rsid w:val="00D4369F"/>
    <w:rsid w:val="00D43F69"/>
    <w:rsid w:val="00D465C7"/>
    <w:rsid w:val="00D47757"/>
    <w:rsid w:val="00D50107"/>
    <w:rsid w:val="00D54DFE"/>
    <w:rsid w:val="00D55D3A"/>
    <w:rsid w:val="00D5791A"/>
    <w:rsid w:val="00D57D0F"/>
    <w:rsid w:val="00D626AA"/>
    <w:rsid w:val="00D66267"/>
    <w:rsid w:val="00D67BEA"/>
    <w:rsid w:val="00D7007E"/>
    <w:rsid w:val="00D741BD"/>
    <w:rsid w:val="00D75000"/>
    <w:rsid w:val="00D82E42"/>
    <w:rsid w:val="00D86021"/>
    <w:rsid w:val="00D86F38"/>
    <w:rsid w:val="00D87E7F"/>
    <w:rsid w:val="00D90D4F"/>
    <w:rsid w:val="00D91838"/>
    <w:rsid w:val="00DA1347"/>
    <w:rsid w:val="00DA78F1"/>
    <w:rsid w:val="00DB4483"/>
    <w:rsid w:val="00DB4C1F"/>
    <w:rsid w:val="00DB614F"/>
    <w:rsid w:val="00DC2A35"/>
    <w:rsid w:val="00DC2D06"/>
    <w:rsid w:val="00DC39F7"/>
    <w:rsid w:val="00DC78A5"/>
    <w:rsid w:val="00DD5E3F"/>
    <w:rsid w:val="00DE0543"/>
    <w:rsid w:val="00DE21F2"/>
    <w:rsid w:val="00DE27F3"/>
    <w:rsid w:val="00DE59BC"/>
    <w:rsid w:val="00DF469D"/>
    <w:rsid w:val="00E00DC4"/>
    <w:rsid w:val="00E0770E"/>
    <w:rsid w:val="00E12824"/>
    <w:rsid w:val="00E13848"/>
    <w:rsid w:val="00E21774"/>
    <w:rsid w:val="00E26B7D"/>
    <w:rsid w:val="00E26BCB"/>
    <w:rsid w:val="00E27FF6"/>
    <w:rsid w:val="00E314D3"/>
    <w:rsid w:val="00E33D9D"/>
    <w:rsid w:val="00E33FDC"/>
    <w:rsid w:val="00E40D2E"/>
    <w:rsid w:val="00E4147C"/>
    <w:rsid w:val="00E47D84"/>
    <w:rsid w:val="00E533AC"/>
    <w:rsid w:val="00E53E23"/>
    <w:rsid w:val="00E577C9"/>
    <w:rsid w:val="00E614D2"/>
    <w:rsid w:val="00E71119"/>
    <w:rsid w:val="00E715BF"/>
    <w:rsid w:val="00E81191"/>
    <w:rsid w:val="00E81C56"/>
    <w:rsid w:val="00E83DF0"/>
    <w:rsid w:val="00E866F9"/>
    <w:rsid w:val="00E874AE"/>
    <w:rsid w:val="00E875E8"/>
    <w:rsid w:val="00E878AD"/>
    <w:rsid w:val="00E91F7D"/>
    <w:rsid w:val="00E92E2F"/>
    <w:rsid w:val="00E978AA"/>
    <w:rsid w:val="00EA66F3"/>
    <w:rsid w:val="00EA73DA"/>
    <w:rsid w:val="00EB24FB"/>
    <w:rsid w:val="00EB377F"/>
    <w:rsid w:val="00EB3CDC"/>
    <w:rsid w:val="00EB4DC9"/>
    <w:rsid w:val="00EB5036"/>
    <w:rsid w:val="00EB553D"/>
    <w:rsid w:val="00EC2485"/>
    <w:rsid w:val="00EC6FF0"/>
    <w:rsid w:val="00EC7E2A"/>
    <w:rsid w:val="00ED553B"/>
    <w:rsid w:val="00EE23A4"/>
    <w:rsid w:val="00EE2CCB"/>
    <w:rsid w:val="00EE61B9"/>
    <w:rsid w:val="00EF3423"/>
    <w:rsid w:val="00EF4CBB"/>
    <w:rsid w:val="00F02165"/>
    <w:rsid w:val="00F04F25"/>
    <w:rsid w:val="00F119CE"/>
    <w:rsid w:val="00F163BA"/>
    <w:rsid w:val="00F16C7C"/>
    <w:rsid w:val="00F21E9A"/>
    <w:rsid w:val="00F23119"/>
    <w:rsid w:val="00F23817"/>
    <w:rsid w:val="00F308E7"/>
    <w:rsid w:val="00F37389"/>
    <w:rsid w:val="00F4024A"/>
    <w:rsid w:val="00F40422"/>
    <w:rsid w:val="00F44386"/>
    <w:rsid w:val="00F50DAB"/>
    <w:rsid w:val="00F53697"/>
    <w:rsid w:val="00F53FF1"/>
    <w:rsid w:val="00F62C32"/>
    <w:rsid w:val="00F62FA3"/>
    <w:rsid w:val="00F738BE"/>
    <w:rsid w:val="00F76675"/>
    <w:rsid w:val="00F77279"/>
    <w:rsid w:val="00F815C4"/>
    <w:rsid w:val="00F860FD"/>
    <w:rsid w:val="00F864BE"/>
    <w:rsid w:val="00F8658F"/>
    <w:rsid w:val="00F907D3"/>
    <w:rsid w:val="00FA159F"/>
    <w:rsid w:val="00FA23BB"/>
    <w:rsid w:val="00FA44C1"/>
    <w:rsid w:val="00FA51FE"/>
    <w:rsid w:val="00FB124D"/>
    <w:rsid w:val="00FB7CBD"/>
    <w:rsid w:val="00FD1054"/>
    <w:rsid w:val="00FD2A2E"/>
    <w:rsid w:val="00FE21AF"/>
    <w:rsid w:val="00FF111F"/>
    <w:rsid w:val="00FF174F"/>
    <w:rsid w:val="00FF45CA"/>
    <w:rsid w:val="00FF5F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2CBE"/>
  <w15:docId w15:val="{23919A84-7DDA-403A-9E0D-E5AE3CD1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E6020"/>
    <w:pPr>
      <w:spacing w:line="320" w:lineRule="atLeast"/>
    </w:pPr>
    <w:rPr>
      <w:sz w:val="24"/>
      <w:szCs w:val="20"/>
    </w:rPr>
  </w:style>
  <w:style w:type="paragraph" w:styleId="berschrift1">
    <w:name w:val="heading 1"/>
    <w:basedOn w:val="Standard"/>
    <w:next w:val="Standard"/>
    <w:link w:val="berschrift1Zchn"/>
    <w:uiPriority w:val="99"/>
    <w:qFormat/>
    <w:rsid w:val="00CA1010"/>
    <w:pPr>
      <w:ind w:right="1700"/>
      <w:jc w:val="both"/>
      <w:outlineLvl w:val="0"/>
    </w:pPr>
    <w:rPr>
      <w:b/>
      <w:sz w:val="28"/>
    </w:rPr>
  </w:style>
  <w:style w:type="paragraph" w:styleId="berschrift2">
    <w:name w:val="heading 2"/>
    <w:basedOn w:val="Standard"/>
    <w:next w:val="Standard"/>
    <w:link w:val="berschrift2Zchn"/>
    <w:uiPriority w:val="99"/>
    <w:qFormat/>
    <w:rsid w:val="00CA1010"/>
    <w:pPr>
      <w:spacing w:line="320" w:lineRule="exact"/>
      <w:ind w:right="1700"/>
      <w:jc w:val="both"/>
      <w:outlineLvl w:val="1"/>
    </w:pPr>
    <w:rPr>
      <w:b/>
      <w:szCs w:val="24"/>
    </w:rPr>
  </w:style>
  <w:style w:type="paragraph" w:styleId="berschrift3">
    <w:name w:val="heading 3"/>
    <w:basedOn w:val="Standard"/>
    <w:next w:val="Standard"/>
    <w:link w:val="berschrift3Zchn"/>
    <w:uiPriority w:val="99"/>
    <w:qFormat/>
    <w:pPr>
      <w:keepNext/>
      <w:keepLines/>
      <w:numPr>
        <w:numId w:val="4"/>
      </w:numPr>
      <w:spacing w:before="240" w:after="240"/>
      <w:ind w:left="357" w:hanging="357"/>
      <w:outlineLvl w:val="2"/>
    </w:pPr>
    <w:rPr>
      <w:b/>
      <w:bCs/>
      <w:color w:val="000000"/>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CA1010"/>
    <w:rPr>
      <w:b/>
      <w:sz w:val="28"/>
      <w:szCs w:val="20"/>
    </w:rPr>
  </w:style>
  <w:style w:type="character" w:customStyle="1" w:styleId="berschrift2Zchn">
    <w:name w:val="Überschrift 2 Zchn"/>
    <w:basedOn w:val="Absatz-Standardschriftart"/>
    <w:link w:val="berschrift2"/>
    <w:uiPriority w:val="99"/>
    <w:locked/>
    <w:rsid w:val="00CA1010"/>
    <w:rPr>
      <w:b/>
      <w:sz w:val="24"/>
      <w:szCs w:val="24"/>
    </w:rPr>
  </w:style>
  <w:style w:type="character" w:customStyle="1" w:styleId="berschrift3Zchn">
    <w:name w:val="Überschrift 3 Zchn"/>
    <w:basedOn w:val="Absatz-Standardschriftart"/>
    <w:link w:val="berschrift3"/>
    <w:uiPriority w:val="99"/>
    <w:locked/>
    <w:rPr>
      <w:rFonts w:ascii="Times New Roman" w:hAnsi="Times New Roman" w:cs="Times New Roman"/>
      <w:b/>
      <w:bCs/>
      <w:color w:val="000000"/>
      <w:sz w:val="24"/>
    </w:rPr>
  </w:style>
  <w:style w:type="paragraph" w:styleId="Listenabsatz">
    <w:name w:val="List Paragraph"/>
    <w:basedOn w:val="Standard"/>
    <w:uiPriority w:val="34"/>
    <w:qFormat/>
    <w:pPr>
      <w:ind w:left="720"/>
      <w:contextualSpacing/>
    </w:pPr>
    <w:rPr>
      <w:szCs w:val="22"/>
      <w:lang w:eastAsia="en-US"/>
    </w:rPr>
  </w:style>
  <w:style w:type="paragraph" w:styleId="Inhaltsverzeichnisberschrift">
    <w:name w:val="TOC Heading"/>
    <w:basedOn w:val="berschrift1"/>
    <w:next w:val="Standard"/>
    <w:uiPriority w:val="39"/>
    <w:qFormat/>
    <w:pPr>
      <w:spacing w:after="320"/>
      <w:outlineLvl w:val="9"/>
    </w:pPr>
  </w:style>
  <w:style w:type="paragraph" w:styleId="Verzeichnis1">
    <w:name w:val="toc 1"/>
    <w:basedOn w:val="Standard"/>
    <w:next w:val="Standard"/>
    <w:autoRedefine/>
    <w:uiPriority w:val="39"/>
    <w:pPr>
      <w:spacing w:after="100"/>
    </w:pPr>
    <w:rPr>
      <w:szCs w:val="22"/>
      <w:lang w:eastAsia="en-US"/>
    </w:rPr>
  </w:style>
  <w:style w:type="paragraph" w:styleId="Verzeichnis2">
    <w:name w:val="toc 2"/>
    <w:basedOn w:val="Standard"/>
    <w:next w:val="Standard"/>
    <w:autoRedefine/>
    <w:uiPriority w:val="39"/>
    <w:pPr>
      <w:tabs>
        <w:tab w:val="left" w:pos="660"/>
        <w:tab w:val="right" w:leader="dot" w:pos="9062"/>
      </w:tabs>
      <w:spacing w:after="100"/>
      <w:ind w:left="240"/>
    </w:pPr>
    <w:rPr>
      <w:szCs w:val="22"/>
      <w:lang w:eastAsia="en-US"/>
    </w:rPr>
  </w:style>
  <w:style w:type="paragraph" w:styleId="Verzeichnis3">
    <w:name w:val="toc 3"/>
    <w:basedOn w:val="Standard"/>
    <w:next w:val="Standard"/>
    <w:autoRedefine/>
    <w:uiPriority w:val="99"/>
    <w:pPr>
      <w:spacing w:after="100"/>
      <w:ind w:left="480"/>
    </w:pPr>
    <w:rPr>
      <w:szCs w:val="22"/>
      <w:lang w:eastAsia="en-US"/>
    </w:rPr>
  </w:style>
  <w:style w:type="character" w:styleId="Hyperlink">
    <w:name w:val="Hyperlink"/>
    <w:basedOn w:val="Absatz-Standardschriftart"/>
    <w:uiPriority w:val="99"/>
    <w:rPr>
      <w:rFonts w:ascii="Times New Roman" w:hAnsi="Times New Roman" w:cs="Times New Roman"/>
      <w:color w:val="004E97"/>
      <w:sz w:val="24"/>
      <w:u w:val="single"/>
    </w:rPr>
  </w:style>
  <w:style w:type="paragraph" w:styleId="Sprechblasentext">
    <w:name w:val="Balloon Text"/>
    <w:basedOn w:val="Standard"/>
    <w:link w:val="SprechblasentextZchn"/>
    <w:uiPriority w:val="99"/>
    <w:semiHidden/>
    <w:rPr>
      <w:rFonts w:ascii="Tahoma" w:hAnsi="Tahoma" w:cs="Tahoma"/>
      <w:sz w:val="16"/>
      <w:szCs w:val="16"/>
      <w:lang w:eastAsia="en-US"/>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rPr>
  </w:style>
  <w:style w:type="paragraph" w:styleId="Titel">
    <w:name w:val="Title"/>
    <w:basedOn w:val="Standard"/>
    <w:next w:val="Standard"/>
    <w:link w:val="TitelZchn"/>
    <w:uiPriority w:val="99"/>
    <w:qFormat/>
    <w:pPr>
      <w:pBdr>
        <w:bottom w:val="single" w:sz="8" w:space="4" w:color="004E97"/>
      </w:pBdr>
      <w:spacing w:after="300"/>
      <w:contextualSpacing/>
    </w:pPr>
    <w:rPr>
      <w:color w:val="000000"/>
      <w:spacing w:val="5"/>
      <w:kern w:val="28"/>
      <w:sz w:val="52"/>
      <w:szCs w:val="52"/>
      <w:lang w:eastAsia="en-US"/>
    </w:rPr>
  </w:style>
  <w:style w:type="character" w:customStyle="1" w:styleId="TitelZchn">
    <w:name w:val="Titel Zchn"/>
    <w:basedOn w:val="Absatz-Standardschriftart"/>
    <w:link w:val="Titel"/>
    <w:uiPriority w:val="99"/>
    <w:locked/>
    <w:rPr>
      <w:rFonts w:ascii="Times New Roman" w:hAnsi="Times New Roman" w:cs="Times New Roman"/>
      <w:color w:val="000000"/>
      <w:spacing w:val="5"/>
      <w:kern w:val="28"/>
      <w:sz w:val="52"/>
      <w:szCs w:val="52"/>
    </w:rPr>
  </w:style>
  <w:style w:type="paragraph" w:styleId="Kopfzeile">
    <w:name w:val="header"/>
    <w:basedOn w:val="Standard"/>
    <w:link w:val="KopfzeileZchn"/>
    <w:uiPriority w:val="99"/>
    <w:pPr>
      <w:tabs>
        <w:tab w:val="center" w:pos="4536"/>
        <w:tab w:val="right" w:pos="9072"/>
      </w:tabs>
    </w:pPr>
    <w:rPr>
      <w:szCs w:val="22"/>
      <w:lang w:eastAsia="en-US"/>
    </w:rPr>
  </w:style>
  <w:style w:type="character" w:customStyle="1" w:styleId="KopfzeileZchn">
    <w:name w:val="Kopfzeile Zchn"/>
    <w:basedOn w:val="Absatz-Standardschriftart"/>
    <w:link w:val="Kopfzeile"/>
    <w:uiPriority w:val="99"/>
    <w:locked/>
    <w:rPr>
      <w:rFonts w:ascii="Times New Roman" w:hAnsi="Times New Roman" w:cs="Times New Roman"/>
      <w:sz w:val="24"/>
    </w:rPr>
  </w:style>
  <w:style w:type="paragraph" w:styleId="Fuzeile">
    <w:name w:val="footer"/>
    <w:basedOn w:val="Standard"/>
    <w:link w:val="FuzeileZchn"/>
    <w:uiPriority w:val="99"/>
    <w:pPr>
      <w:tabs>
        <w:tab w:val="center" w:pos="4536"/>
        <w:tab w:val="right" w:pos="9072"/>
      </w:tabs>
    </w:pPr>
    <w:rPr>
      <w:szCs w:val="22"/>
      <w:lang w:eastAsia="en-US"/>
    </w:rPr>
  </w:style>
  <w:style w:type="character" w:customStyle="1" w:styleId="FuzeileZchn">
    <w:name w:val="Fußzeile Zchn"/>
    <w:basedOn w:val="Absatz-Standardschriftart"/>
    <w:link w:val="Fuzeile"/>
    <w:uiPriority w:val="99"/>
    <w:locked/>
    <w:rPr>
      <w:rFonts w:ascii="Times New Roman" w:hAnsi="Times New Roman" w:cs="Times New Roman"/>
      <w:sz w:val="24"/>
    </w:rPr>
  </w:style>
  <w:style w:type="table" w:styleId="Tabellenraster">
    <w:name w:val="Table Grid"/>
    <w:basedOn w:val="NormaleTabelle"/>
    <w:uiPriority w:val="39"/>
    <w:rPr>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eitenzahl">
    <w:name w:val="page number"/>
    <w:basedOn w:val="Absatz-Standardschriftart"/>
    <w:uiPriority w:val="99"/>
    <w:rPr>
      <w:rFonts w:cs="Times New Roman"/>
    </w:rPr>
  </w:style>
  <w:style w:type="paragraph" w:styleId="berarbeitung">
    <w:name w:val="Revision"/>
    <w:hidden/>
    <w:uiPriority w:val="99"/>
    <w:semiHidden/>
    <w:rPr>
      <w:sz w:val="24"/>
      <w:szCs w:val="20"/>
    </w:rPr>
  </w:style>
  <w:style w:type="character" w:styleId="Kommentarzeichen">
    <w:name w:val="annotation reference"/>
    <w:basedOn w:val="Absatz-Standardschriftart"/>
    <w:uiPriority w:val="99"/>
    <w:semiHidden/>
    <w:rPr>
      <w:rFonts w:cs="Times New Roman"/>
      <w:sz w:val="16"/>
      <w:szCs w:val="16"/>
    </w:rPr>
  </w:style>
  <w:style w:type="paragraph" w:styleId="Kommentartext">
    <w:name w:val="annotation text"/>
    <w:basedOn w:val="Standard"/>
    <w:link w:val="KommentartextZchn"/>
    <w:uiPriority w:val="99"/>
    <w:semiHidden/>
    <w:pPr>
      <w:spacing w:line="240" w:lineRule="auto"/>
    </w:pPr>
    <w:rPr>
      <w:sz w:val="20"/>
    </w:rPr>
  </w:style>
  <w:style w:type="character" w:customStyle="1" w:styleId="KommentartextZchn">
    <w:name w:val="Kommentartext Zchn"/>
    <w:basedOn w:val="Absatz-Standardschriftart"/>
    <w:link w:val="Kommentartext"/>
    <w:uiPriority w:val="99"/>
    <w:semiHidden/>
    <w:locked/>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rPr>
      <w:b/>
      <w:bCs/>
    </w:rPr>
  </w:style>
  <w:style w:type="character" w:customStyle="1" w:styleId="KommentarthemaZchn">
    <w:name w:val="Kommentarthema Zchn"/>
    <w:basedOn w:val="KommentartextZchn"/>
    <w:link w:val="Kommentarthema"/>
    <w:uiPriority w:val="99"/>
    <w:semiHidden/>
    <w:locked/>
    <w:rPr>
      <w:rFonts w:ascii="Times New Roman" w:hAnsi="Times New Roman" w:cs="Times New Roman"/>
      <w:b/>
      <w:bCs/>
      <w:sz w:val="20"/>
      <w:szCs w:val="20"/>
      <w:lang w:eastAsia="de-DE"/>
    </w:rPr>
  </w:style>
  <w:style w:type="paragraph" w:customStyle="1" w:styleId="HL1">
    <w:name w:val="HL 1"/>
    <w:qFormat/>
    <w:rsid w:val="00AE6020"/>
    <w:pPr>
      <w:spacing w:after="200" w:line="276" w:lineRule="auto"/>
    </w:pPr>
    <w:rPr>
      <w:rFonts w:ascii="Frutiger LT 45 Light" w:eastAsiaTheme="minorHAnsi" w:hAnsi="Frutiger LT 45 Light" w:cstheme="minorBidi"/>
      <w:sz w:val="28"/>
      <w:lang w:eastAsia="en-US"/>
    </w:rPr>
  </w:style>
  <w:style w:type="paragraph" w:customStyle="1" w:styleId="HL3">
    <w:name w:val="HL 3"/>
    <w:qFormat/>
    <w:rsid w:val="00AE6020"/>
    <w:pPr>
      <w:spacing w:after="200" w:line="276" w:lineRule="auto"/>
    </w:pPr>
    <w:rPr>
      <w:rFonts w:asciiTheme="minorHAnsi" w:eastAsiaTheme="minorHAnsi" w:hAnsiTheme="minorHAnsi" w:cstheme="minorBidi"/>
      <w:sz w:val="26"/>
      <w:szCs w:val="26"/>
      <w:lang w:eastAsia="en-US"/>
    </w:rPr>
  </w:style>
  <w:style w:type="paragraph" w:styleId="Funotentext">
    <w:name w:val="footnote text"/>
    <w:basedOn w:val="Standard"/>
    <w:link w:val="FunotentextZchn"/>
    <w:uiPriority w:val="99"/>
    <w:semiHidden/>
    <w:unhideWhenUsed/>
    <w:rsid w:val="003D1970"/>
    <w:pPr>
      <w:spacing w:line="240" w:lineRule="auto"/>
    </w:pPr>
    <w:rPr>
      <w:rFonts w:eastAsiaTheme="minorHAnsi"/>
      <w:sz w:val="20"/>
      <w:lang w:eastAsia="en-US"/>
    </w:rPr>
  </w:style>
  <w:style w:type="character" w:customStyle="1" w:styleId="FunotentextZchn">
    <w:name w:val="Fußnotentext Zchn"/>
    <w:basedOn w:val="Absatz-Standardschriftart"/>
    <w:link w:val="Funotentext"/>
    <w:uiPriority w:val="99"/>
    <w:semiHidden/>
    <w:rsid w:val="003D1970"/>
    <w:rPr>
      <w:rFonts w:eastAsiaTheme="minorHAnsi"/>
      <w:sz w:val="20"/>
      <w:szCs w:val="20"/>
      <w:lang w:eastAsia="en-US"/>
    </w:rPr>
  </w:style>
  <w:style w:type="character" w:styleId="Funotenzeichen">
    <w:name w:val="footnote reference"/>
    <w:basedOn w:val="Absatz-Standardschriftart"/>
    <w:uiPriority w:val="99"/>
    <w:semiHidden/>
    <w:unhideWhenUsed/>
    <w:rsid w:val="003D1970"/>
    <w:rPr>
      <w:vertAlign w:val="superscript"/>
    </w:rPr>
  </w:style>
  <w:style w:type="character" w:customStyle="1" w:styleId="zit">
    <w:name w:val="zit"/>
    <w:basedOn w:val="Absatz-Standardschriftart"/>
    <w:rsid w:val="00E92E2F"/>
  </w:style>
  <w:style w:type="paragraph" w:styleId="StandardWeb">
    <w:name w:val="Normal (Web)"/>
    <w:basedOn w:val="Standard"/>
    <w:uiPriority w:val="99"/>
    <w:unhideWhenUsed/>
    <w:rsid w:val="00DE0543"/>
    <w:pPr>
      <w:spacing w:before="100" w:beforeAutospacing="1" w:after="100" w:afterAutospacing="1" w:line="240" w:lineRule="auto"/>
    </w:pPr>
    <w:rPr>
      <w:szCs w:val="24"/>
    </w:rPr>
  </w:style>
  <w:style w:type="character" w:styleId="NichtaufgelsteErwhnung">
    <w:name w:val="Unresolved Mention"/>
    <w:basedOn w:val="Absatz-Standardschriftart"/>
    <w:uiPriority w:val="99"/>
    <w:rsid w:val="00FA51FE"/>
    <w:rPr>
      <w:color w:val="605E5C"/>
      <w:shd w:val="clear" w:color="auto" w:fill="E1DFDD"/>
    </w:rPr>
  </w:style>
  <w:style w:type="character" w:styleId="BesuchterLink">
    <w:name w:val="FollowedHyperlink"/>
    <w:basedOn w:val="Absatz-Standardschriftart"/>
    <w:uiPriority w:val="99"/>
    <w:semiHidden/>
    <w:unhideWhenUsed/>
    <w:rsid w:val="00BF7C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791916">
      <w:bodyDiv w:val="1"/>
      <w:marLeft w:val="0"/>
      <w:marRight w:val="0"/>
      <w:marTop w:val="0"/>
      <w:marBottom w:val="0"/>
      <w:divBdr>
        <w:top w:val="none" w:sz="0" w:space="0" w:color="auto"/>
        <w:left w:val="none" w:sz="0" w:space="0" w:color="auto"/>
        <w:bottom w:val="none" w:sz="0" w:space="0" w:color="auto"/>
        <w:right w:val="none" w:sz="0" w:space="0" w:color="auto"/>
      </w:divBdr>
    </w:div>
    <w:div w:id="1231699415">
      <w:bodyDiv w:val="1"/>
      <w:marLeft w:val="0"/>
      <w:marRight w:val="0"/>
      <w:marTop w:val="0"/>
      <w:marBottom w:val="0"/>
      <w:divBdr>
        <w:top w:val="none" w:sz="0" w:space="0" w:color="auto"/>
        <w:left w:val="none" w:sz="0" w:space="0" w:color="auto"/>
        <w:bottom w:val="none" w:sz="0" w:space="0" w:color="auto"/>
        <w:right w:val="none" w:sz="0" w:space="0" w:color="auto"/>
      </w:divBdr>
    </w:div>
    <w:div w:id="1957635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dbag.de/investor-relations/corporate-govern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 D E M A T T E R S ! 2 0 3 2 8 7 5 4 . 4 < / d o c u m e n t i d >  
     < s e n d e r i d > S C H N A B E K < / s e n d e r i d >  
     < s e n d e r e m a i l > K E R S T I N . S C H N A B E L @ D L A P I P E R . C O M < / s e n d e r e m a i l >  
     < l a s t m o d i f i e d > 2 0 2 3 - 0 9 - 0 5 T 1 7 : 2 8 : 0 0 . 0 0 0 0 0 0 0 + 0 2 : 0 0 < / l a s t m o d i f i e d >  
     < d a t a b a s e > D E M A T T E R S < / d a t a b a s e >  
 < / p r o p e r t i e s > 
</file>

<file path=customXml/itemProps1.xml><?xml version="1.0" encoding="utf-8"?>
<ds:datastoreItem xmlns:ds="http://schemas.openxmlformats.org/officeDocument/2006/customXml" ds:itemID="{4A9F616A-31A1-47BE-BCB3-DB0B277433F6}">
  <ds:schemaRefs>
    <ds:schemaRef ds:uri="http://schemas.openxmlformats.org/officeDocument/2006/bibliography"/>
  </ds:schemaRefs>
</ds:datastoreItem>
</file>

<file path=customXml/itemProps2.xml><?xml version="1.0" encoding="utf-8"?>
<ds:datastoreItem xmlns:ds="http://schemas.openxmlformats.org/officeDocument/2006/customXml" ds:itemID="{1C1C437B-4C80-4198-80B2-B8F3AFA1257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5041</Words>
  <Characters>35558</Characters>
  <Application>Microsoft Office Word</Application>
  <DocSecurity>0</DocSecurity>
  <Lines>920</Lines>
  <Paragraphs>272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Döll, Matthias</dc:creator>
  <cp:lastModifiedBy>Niederländer, Caroline</cp:lastModifiedBy>
  <cp:revision>2</cp:revision>
  <cp:lastPrinted>2025-12-29T14:13:00Z</cp:lastPrinted>
  <dcterms:created xsi:type="dcterms:W3CDTF">2026-02-24T09:31:00Z</dcterms:created>
  <dcterms:modified xsi:type="dcterms:W3CDTF">2026-02-24T09:31:00Z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ABAAmJ+7jnJ2eOX7E0zMVAGh37zKJyc/xk5UosPbfmKovHRVobFe7YUgfYdZArC1+7jD</vt:lpwstr>
  </property>
  <property fmtid="{D5CDD505-2E9C-101B-9397-08002B2CF9AE}" pid="3" name="MAIL_MSG_ID1">
    <vt:lpwstr>ABAAVOAfoSrQoyyUF8/ipIDp3gXehtFhlyNdVlQS/+kAM/cjXpnu/0oJyGkKSHzcQTXQ</vt:lpwstr>
  </property>
  <property fmtid="{D5CDD505-2E9C-101B-9397-08002B2CF9AE}" pid="4" name="Plato EditorId">
    <vt:lpwstr>3cc32389-efaa-488b-95c7-a99535ea8df5</vt:lpwstr>
  </property>
  <property fmtid="{D5CDD505-2E9C-101B-9397-08002B2CF9AE}" pid="5" name="RESPONSE_SENDER_NAME">
    <vt:lpwstr>gAAAdya76B99d4hLGUR1rQ+8TxTv0GGEPdix</vt:lpwstr>
  </property>
</Properties>
</file>